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福州市“马上就办、真抓实干”</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精神展示馆分区讲解设备采购项目</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jc w:val="center"/>
        <w:textAlignment w:val="auto"/>
        <w:rPr>
          <w:rFonts w:hint="eastAsia" w:ascii="宋体" w:hAnsi="宋体" w:eastAsia="宋体" w:cs="宋体"/>
          <w:b/>
          <w:bCs/>
          <w:color w:val="auto"/>
          <w:sz w:val="44"/>
          <w:szCs w:val="32"/>
          <w:lang w:val="zh-CN" w:eastAsia="zh-CN"/>
        </w:rPr>
      </w:pPr>
      <w:r>
        <w:rPr>
          <w:rFonts w:hint="eastAsia" w:ascii="宋体" w:hAnsi="宋体" w:eastAsia="宋体" w:cs="宋体"/>
          <w:b/>
          <w:bCs/>
          <w:color w:val="auto"/>
          <w:sz w:val="44"/>
          <w:szCs w:val="32"/>
          <w:lang w:val="zh-CN" w:eastAsia="zh-CN"/>
        </w:rPr>
        <w:t>采购文件</w:t>
      </w:r>
    </w:p>
    <w:p>
      <w:pPr>
        <w:keepNext w:val="0"/>
        <w:keepLines w:val="0"/>
        <w:pageBreakBefore w:val="0"/>
        <w:kinsoku/>
        <w:wordWrap/>
        <w:overflowPunct/>
        <w:topLinePunct w:val="0"/>
        <w:autoSpaceDE/>
        <w:autoSpaceDN/>
        <w:bidi w:val="0"/>
        <w:adjustRightInd/>
        <w:spacing w:line="560" w:lineRule="exact"/>
        <w:ind w:left="0" w:leftChars="0"/>
        <w:textAlignment w:val="auto"/>
      </w:pP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我单位拟对福州市“马上就办、真抓实干”精神展示馆分区讲解设备采购项目进行询价比价方式采购，欢迎国内合格供应商前来报价。</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lang w:val="zh-CN"/>
        </w:rPr>
      </w:pPr>
      <w:r>
        <w:rPr>
          <w:rFonts w:hint="eastAsia" w:ascii="黑体" w:hAnsi="黑体" w:eastAsia="黑体" w:cs="黑体"/>
          <w:color w:val="000000"/>
          <w:kern w:val="0"/>
          <w:sz w:val="32"/>
          <w:szCs w:val="32"/>
          <w:lang w:val="zh-CN"/>
        </w:rPr>
        <w:t>一、★采购内容及要求（以</w:t>
      </w:r>
      <w:r>
        <w:rPr>
          <w:rFonts w:hint="default" w:ascii="黑体" w:hAnsi="黑体" w:eastAsia="黑体" w:cs="黑体"/>
          <w:color w:val="000000"/>
          <w:kern w:val="0"/>
          <w:sz w:val="32"/>
          <w:szCs w:val="32"/>
          <w:lang w:val="zh-CN"/>
        </w:rPr>
        <w:t>“</w:t>
      </w:r>
      <w:r>
        <w:rPr>
          <w:rFonts w:hint="eastAsia" w:ascii="黑体" w:hAnsi="黑体" w:eastAsia="黑体" w:cs="黑体"/>
          <w:color w:val="000000"/>
          <w:kern w:val="0"/>
          <w:sz w:val="32"/>
          <w:szCs w:val="32"/>
          <w:lang w:val="zh-CN"/>
        </w:rPr>
        <w:t>★</w:t>
      </w:r>
      <w:r>
        <w:rPr>
          <w:rFonts w:hint="default" w:ascii="黑体" w:hAnsi="黑体" w:eastAsia="黑体" w:cs="黑体"/>
          <w:color w:val="000000"/>
          <w:kern w:val="0"/>
          <w:sz w:val="32"/>
          <w:szCs w:val="32"/>
          <w:lang w:val="zh-CN"/>
        </w:rPr>
        <w:t>”</w:t>
      </w:r>
      <w:r>
        <w:rPr>
          <w:rFonts w:hint="eastAsia" w:ascii="黑体" w:hAnsi="黑体" w:eastAsia="黑体" w:cs="黑体"/>
          <w:color w:val="000000"/>
          <w:kern w:val="0"/>
          <w:sz w:val="32"/>
          <w:szCs w:val="32"/>
          <w:lang w:val="zh-CN"/>
        </w:rPr>
        <w:t>标示的内容为不允许负偏离的实质性要求，以下采购内容均不允许负偏离）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本项目为</w:t>
      </w:r>
      <w:r>
        <w:rPr>
          <w:rFonts w:hint="eastAsia" w:ascii="仿宋" w:hAnsi="仿宋" w:eastAsia="仿宋" w:cs="仿宋"/>
          <w:color w:val="auto"/>
          <w:sz w:val="32"/>
          <w:lang w:val="zh-CN" w:eastAsia="zh-CN"/>
        </w:rPr>
        <w:t>福州市“马上就办、真抓实干”精神展示馆分区讲解设备采购项目</w:t>
      </w:r>
      <w:r>
        <w:rPr>
          <w:rFonts w:hint="eastAsia" w:ascii="仿宋" w:hAnsi="仿宋" w:eastAsia="仿宋" w:cs="仿宋"/>
          <w:color w:val="auto"/>
          <w:sz w:val="32"/>
          <w:lang w:val="en-US" w:eastAsia="zh-CN"/>
        </w:rPr>
        <w:t>，地址：福州市台江区高桥路69号（福州市政务服务中心）。为深入学习宣传贯彻习近平新时代中国特色社会主义思想和党的二十大精神，进一步做好展示馆参观讲解工作，拟采购展馆分区讲解设备，展馆面积约900平方米，供应商需针对展馆设计讲解系统，出具设计图纸，讲解设备需支持多个分区同时现场进行讲解，讲解点间切换时，声音淡入淡出，需保证平稳过渡、不间断切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楷体" w:hAnsi="楷体" w:eastAsia="楷体" w:cs="楷体"/>
          <w:color w:val="auto"/>
          <w:sz w:val="32"/>
          <w:lang w:val="en-US" w:eastAsia="zh-CN"/>
        </w:rPr>
        <w:t>（二）预算金额：</w:t>
      </w:r>
      <w:r>
        <w:rPr>
          <w:rFonts w:hint="eastAsia" w:ascii="仿宋" w:hAnsi="仿宋" w:eastAsia="仿宋" w:cs="仿宋"/>
          <w:color w:val="auto"/>
          <w:sz w:val="32"/>
          <w:lang w:val="en-US" w:eastAsia="zh-CN"/>
        </w:rPr>
        <w:t>150000元（项目预算价作为最高限价，报价超过预算价视为无效报价）。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lang w:val="en-US" w:eastAsia="zh-CN"/>
        </w:rPr>
      </w:pPr>
      <w:r>
        <w:rPr>
          <w:rFonts w:hint="eastAsia" w:ascii="楷体" w:hAnsi="楷体" w:eastAsia="楷体" w:cs="楷体"/>
          <w:color w:val="auto"/>
          <w:sz w:val="32"/>
          <w:lang w:val="en-US" w:eastAsia="zh-CN"/>
        </w:rPr>
        <w:t>（三）技术和服务要求</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供应商应按正规销售渠道供货，保证采购人能享受原厂或原厂认可的售后维修机构的售后服务。供应商所提供的货物和服务应符合国家相关法律法规。供应商提供的产品中如有配套使用的相关软件，必须是正版的、合法的。国家有CCC强制性规定的产品还必须符合国家CCC强制性认证规定。</w:t>
      </w:r>
    </w:p>
    <w:p>
      <w:pPr>
        <w:pStyle w:val="2"/>
        <w:rPr>
          <w:rFonts w:hint="eastAsia"/>
          <w:lang w:val="en-US" w:eastAsia="zh-CN"/>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sz w:val="32"/>
          <w:szCs w:val="32"/>
        </w:rPr>
        <w:t>货物清单及技术指标：</w:t>
      </w:r>
    </w:p>
    <w:tbl>
      <w:tblPr>
        <w:tblStyle w:val="11"/>
        <w:tblW w:w="10395" w:type="dxa"/>
        <w:tblInd w:w="-8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7980"/>
        <w:gridCol w:w="73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名称</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参数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单位</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r>
              <w:rPr>
                <w:rFonts w:hint="eastAsia" w:ascii="宋体" w:hAnsi="宋体"/>
                <w:color w:val="000000"/>
                <w:sz w:val="22"/>
                <w:szCs w:val="24"/>
              </w:rPr>
              <w:t>讲解接收机</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1）具有音频功率放大功能；</w:t>
            </w:r>
          </w:p>
          <w:p>
            <w:pPr>
              <w:spacing w:beforeLines="0" w:afterLines="0"/>
              <w:jc w:val="left"/>
              <w:rPr>
                <w:rFonts w:hint="eastAsia" w:ascii="宋体" w:hAnsi="宋体"/>
                <w:color w:val="000000"/>
                <w:sz w:val="22"/>
                <w:szCs w:val="24"/>
              </w:rPr>
            </w:pPr>
            <w:r>
              <w:rPr>
                <w:rFonts w:hint="eastAsia" w:ascii="宋体" w:hAnsi="宋体"/>
                <w:color w:val="000000"/>
                <w:sz w:val="22"/>
                <w:szCs w:val="24"/>
              </w:rPr>
              <w:t>2）220V 50Hz单相三线交流电源供电；</w:t>
            </w:r>
          </w:p>
          <w:p>
            <w:pPr>
              <w:spacing w:beforeLines="0" w:afterLines="0"/>
              <w:jc w:val="left"/>
              <w:rPr>
                <w:rFonts w:hint="eastAsia" w:ascii="宋体" w:hAnsi="宋体"/>
                <w:color w:val="000000"/>
                <w:sz w:val="22"/>
                <w:szCs w:val="24"/>
              </w:rPr>
            </w:pPr>
            <w:r>
              <w:rPr>
                <w:rFonts w:hint="eastAsia" w:ascii="宋体" w:hAnsi="宋体"/>
                <w:color w:val="000000"/>
                <w:sz w:val="22"/>
                <w:szCs w:val="24"/>
              </w:rPr>
              <w:t>3）额定功率：100W；</w:t>
            </w:r>
          </w:p>
          <w:p>
            <w:pPr>
              <w:spacing w:beforeLines="0" w:afterLines="0"/>
              <w:jc w:val="left"/>
              <w:rPr>
                <w:rFonts w:hint="eastAsia" w:ascii="宋体" w:hAnsi="宋体"/>
                <w:color w:val="000000"/>
                <w:sz w:val="22"/>
                <w:szCs w:val="24"/>
              </w:rPr>
            </w:pPr>
            <w:r>
              <w:rPr>
                <w:rFonts w:hint="eastAsia" w:ascii="宋体" w:hAnsi="宋体"/>
                <w:color w:val="000000"/>
                <w:sz w:val="22"/>
                <w:szCs w:val="24"/>
              </w:rPr>
              <w:t>4）采用全数字低延迟无线传输技术；总传输延迟&lt;0.5ms；采样率</w:t>
            </w:r>
            <w:r>
              <w:rPr>
                <w:rFonts w:hint="eastAsia" w:ascii="宋体" w:hAnsi="宋体"/>
                <w:color w:val="000000"/>
                <w:sz w:val="22"/>
                <w:szCs w:val="24"/>
                <w:lang w:eastAsia="zh-CN"/>
              </w:rPr>
              <w:t>不低于</w:t>
            </w:r>
            <w:r>
              <w:rPr>
                <w:rFonts w:hint="eastAsia" w:ascii="宋体" w:hAnsi="宋体"/>
                <w:color w:val="000000"/>
                <w:sz w:val="22"/>
                <w:szCs w:val="24"/>
              </w:rPr>
              <w:t>64KHz、采样精度</w:t>
            </w:r>
            <w:r>
              <w:rPr>
                <w:rFonts w:hint="eastAsia" w:ascii="宋体" w:hAnsi="宋体"/>
                <w:color w:val="000000"/>
                <w:sz w:val="22"/>
                <w:szCs w:val="24"/>
                <w:lang w:eastAsia="zh-CN"/>
              </w:rPr>
              <w:t>不低于</w:t>
            </w:r>
            <w:r>
              <w:rPr>
                <w:rFonts w:hint="eastAsia" w:ascii="宋体" w:hAnsi="宋体"/>
                <w:color w:val="000000"/>
                <w:sz w:val="22"/>
                <w:szCs w:val="24"/>
              </w:rPr>
              <w:t>24bit、信噪比（SNR）不低于90dB，音质</w:t>
            </w:r>
            <w:r>
              <w:rPr>
                <w:rFonts w:hint="eastAsia" w:ascii="宋体" w:hAnsi="宋体"/>
                <w:color w:val="000000"/>
                <w:sz w:val="22"/>
                <w:szCs w:val="24"/>
                <w:lang w:eastAsia="zh-CN"/>
              </w:rPr>
              <w:t>不低于</w:t>
            </w:r>
            <w:r>
              <w:rPr>
                <w:rFonts w:hint="eastAsia" w:ascii="宋体" w:hAnsi="宋体"/>
                <w:color w:val="000000"/>
                <w:sz w:val="22"/>
                <w:szCs w:val="24"/>
              </w:rPr>
              <w:t>HDCD级别；</w:t>
            </w:r>
          </w:p>
          <w:p>
            <w:pPr>
              <w:spacing w:beforeLines="0" w:afterLines="0"/>
              <w:jc w:val="left"/>
              <w:rPr>
                <w:rFonts w:hint="eastAsia" w:ascii="宋体" w:hAnsi="宋体"/>
                <w:color w:val="000000"/>
                <w:sz w:val="22"/>
                <w:szCs w:val="24"/>
              </w:rPr>
            </w:pPr>
            <w:r>
              <w:rPr>
                <w:rFonts w:hint="eastAsia" w:ascii="宋体" w:hAnsi="宋体"/>
                <w:color w:val="000000"/>
                <w:sz w:val="22"/>
                <w:szCs w:val="24"/>
              </w:rPr>
              <w:t>5）多天线自动采集来自多个不同方位的数字无线音频信号；</w:t>
            </w:r>
          </w:p>
          <w:p>
            <w:pPr>
              <w:spacing w:beforeLines="0" w:afterLines="0"/>
              <w:jc w:val="left"/>
              <w:rPr>
                <w:rFonts w:hint="eastAsia" w:ascii="宋体" w:hAnsi="宋体"/>
                <w:color w:val="000000"/>
                <w:sz w:val="22"/>
                <w:szCs w:val="24"/>
              </w:rPr>
            </w:pPr>
            <w:r>
              <w:rPr>
                <w:rFonts w:hint="eastAsia" w:ascii="宋体" w:hAnsi="宋体"/>
                <w:color w:val="000000"/>
                <w:sz w:val="22"/>
                <w:szCs w:val="24"/>
              </w:rPr>
              <w:t>6）实时采集处理</w:t>
            </w:r>
            <w:r>
              <w:rPr>
                <w:rFonts w:hint="eastAsia" w:ascii="宋体" w:hAnsi="宋体"/>
                <w:color w:val="000000"/>
                <w:sz w:val="22"/>
                <w:szCs w:val="24"/>
                <w:lang w:eastAsia="zh-CN"/>
              </w:rPr>
              <w:t>至少</w:t>
            </w:r>
            <w:r>
              <w:rPr>
                <w:rFonts w:hint="eastAsia" w:ascii="宋体" w:hAnsi="宋体"/>
                <w:color w:val="000000"/>
                <w:sz w:val="22"/>
                <w:szCs w:val="24"/>
              </w:rPr>
              <w:t>8路数字音频信号数据</w:t>
            </w:r>
            <w:bookmarkStart w:id="11" w:name="_GoBack"/>
            <w:bookmarkEnd w:id="11"/>
            <w:r>
              <w:rPr>
                <w:rFonts w:hint="eastAsia" w:ascii="宋体" w:hAnsi="宋体"/>
                <w:color w:val="000000"/>
                <w:sz w:val="22"/>
                <w:szCs w:val="24"/>
              </w:rPr>
              <w:t>流，扩充信道容量，实现2人</w:t>
            </w:r>
            <w:r>
              <w:rPr>
                <w:rFonts w:hint="eastAsia" w:ascii="宋体" w:hAnsi="宋体"/>
                <w:color w:val="000000"/>
                <w:sz w:val="22"/>
                <w:szCs w:val="24"/>
                <w:lang w:eastAsia="zh-CN"/>
              </w:rPr>
              <w:t>及以上</w:t>
            </w:r>
            <w:r>
              <w:rPr>
                <w:rFonts w:hint="eastAsia" w:ascii="宋体" w:hAnsi="宋体"/>
                <w:color w:val="000000"/>
                <w:sz w:val="22"/>
                <w:szCs w:val="24"/>
              </w:rPr>
              <w:t>同时同步讲解；</w:t>
            </w:r>
          </w:p>
          <w:p>
            <w:pPr>
              <w:spacing w:beforeLines="0" w:afterLines="0"/>
              <w:jc w:val="left"/>
              <w:rPr>
                <w:rFonts w:hint="eastAsia" w:ascii="宋体" w:hAnsi="宋体"/>
                <w:color w:val="000000"/>
                <w:sz w:val="22"/>
                <w:szCs w:val="24"/>
              </w:rPr>
            </w:pPr>
            <w:r>
              <w:rPr>
                <w:rFonts w:hint="eastAsia" w:ascii="宋体" w:hAnsi="宋体"/>
                <w:color w:val="000000"/>
                <w:sz w:val="22"/>
                <w:szCs w:val="24"/>
              </w:rPr>
              <w:t>7）自动分析信号SNR及音频质量；</w:t>
            </w:r>
          </w:p>
          <w:p>
            <w:pPr>
              <w:spacing w:beforeLines="0" w:afterLines="0"/>
              <w:jc w:val="left"/>
              <w:rPr>
                <w:rFonts w:hint="eastAsia" w:ascii="宋体" w:hAnsi="宋体"/>
                <w:color w:val="000000"/>
                <w:sz w:val="22"/>
                <w:szCs w:val="24"/>
              </w:rPr>
            </w:pPr>
            <w:r>
              <w:rPr>
                <w:rFonts w:hint="eastAsia" w:ascii="宋体" w:hAnsi="宋体"/>
                <w:color w:val="000000"/>
                <w:sz w:val="22"/>
                <w:szCs w:val="24"/>
              </w:rPr>
              <w:t>8）可同时支持500个讲解通道以上；同一场馆内可同时布置无限多台讲解接收机；</w:t>
            </w:r>
          </w:p>
          <w:p>
            <w:pPr>
              <w:spacing w:beforeLines="0" w:afterLines="0"/>
              <w:jc w:val="left"/>
              <w:rPr>
                <w:rFonts w:hint="eastAsia" w:ascii="宋体" w:hAnsi="宋体"/>
                <w:color w:val="000000"/>
                <w:sz w:val="22"/>
                <w:szCs w:val="24"/>
              </w:rPr>
            </w:pPr>
            <w:r>
              <w:rPr>
                <w:rFonts w:hint="eastAsia" w:ascii="宋体" w:hAnsi="宋体"/>
                <w:color w:val="000000"/>
                <w:sz w:val="22"/>
                <w:szCs w:val="24"/>
              </w:rPr>
              <w:t>9）全数字无线信号传输，不受手机、对讲机、FM广播等信号的干扰；</w:t>
            </w:r>
          </w:p>
          <w:p>
            <w:pPr>
              <w:spacing w:beforeLines="0" w:afterLines="0"/>
              <w:jc w:val="left"/>
              <w:rPr>
                <w:rFonts w:hint="eastAsia" w:ascii="宋体" w:hAnsi="宋体"/>
                <w:color w:val="000000"/>
                <w:sz w:val="22"/>
                <w:szCs w:val="24"/>
              </w:rPr>
            </w:pPr>
            <w:r>
              <w:rPr>
                <w:rFonts w:hint="eastAsia" w:ascii="宋体" w:hAnsi="宋体"/>
                <w:color w:val="000000"/>
                <w:sz w:val="22"/>
                <w:szCs w:val="24"/>
              </w:rPr>
              <w:t>10）具有电源指示灯、多路信号指示灯及工作状态指示灯；</w:t>
            </w:r>
          </w:p>
          <w:p>
            <w:pPr>
              <w:spacing w:beforeLines="0" w:afterLines="0"/>
              <w:jc w:val="left"/>
              <w:rPr>
                <w:rFonts w:hint="eastAsia" w:ascii="宋体" w:hAnsi="宋体"/>
                <w:color w:val="000000"/>
                <w:sz w:val="22"/>
                <w:szCs w:val="24"/>
              </w:rPr>
            </w:pPr>
            <w:r>
              <w:rPr>
                <w:rFonts w:hint="eastAsia" w:ascii="宋体" w:hAnsi="宋体"/>
                <w:color w:val="000000"/>
                <w:sz w:val="22"/>
                <w:szCs w:val="24"/>
              </w:rPr>
              <w:t>11）具有无线遥控设置音量调节、均衡调节、中音补偿、群组编码、信道使能等功能；</w:t>
            </w:r>
          </w:p>
          <w:p>
            <w:pPr>
              <w:spacing w:beforeLines="0" w:afterLines="0"/>
              <w:jc w:val="left"/>
              <w:rPr>
                <w:rFonts w:hint="eastAsia" w:ascii="宋体" w:hAnsi="宋体"/>
                <w:color w:val="000000"/>
                <w:sz w:val="22"/>
                <w:szCs w:val="24"/>
              </w:rPr>
            </w:pPr>
            <w:r>
              <w:rPr>
                <w:rFonts w:hint="eastAsia" w:ascii="宋体" w:hAnsi="宋体"/>
                <w:color w:val="000000"/>
                <w:sz w:val="22"/>
                <w:szCs w:val="24"/>
              </w:rPr>
              <w:t>12）分布式多点接收、天线分集技术，保证无信号盲区和阴影区。消除信号散射、反射干扰，保障信号稳定、不间断，声音清晰、流畅；</w:t>
            </w:r>
          </w:p>
          <w:p>
            <w:pPr>
              <w:spacing w:beforeLines="0" w:afterLines="0"/>
              <w:jc w:val="left"/>
              <w:rPr>
                <w:rFonts w:hint="eastAsia" w:ascii="宋体" w:hAnsi="宋体"/>
                <w:color w:val="000000"/>
                <w:sz w:val="22"/>
                <w:szCs w:val="24"/>
              </w:rPr>
            </w:pPr>
            <w:r>
              <w:rPr>
                <w:rFonts w:hint="eastAsia" w:ascii="宋体" w:hAnsi="宋体"/>
                <w:color w:val="000000"/>
                <w:sz w:val="22"/>
                <w:szCs w:val="24"/>
              </w:rPr>
              <w:t>13）具备RCA外部音频线路输入接口、音频线路输出接口；</w:t>
            </w:r>
          </w:p>
          <w:p>
            <w:pPr>
              <w:spacing w:beforeLines="0" w:afterLines="0"/>
              <w:jc w:val="left"/>
              <w:rPr>
                <w:rFonts w:hint="eastAsia" w:ascii="宋体" w:hAnsi="宋体"/>
                <w:color w:val="000000"/>
                <w:sz w:val="22"/>
                <w:szCs w:val="24"/>
              </w:rPr>
            </w:pPr>
            <w:r>
              <w:rPr>
                <w:rFonts w:hint="eastAsia" w:ascii="宋体" w:hAnsi="宋体"/>
                <w:color w:val="000000"/>
                <w:sz w:val="22"/>
                <w:szCs w:val="24"/>
              </w:rPr>
              <w:t>14）配备70V、100V定压音频传输输入接口及匹配、切换模组；</w:t>
            </w:r>
          </w:p>
          <w:p>
            <w:pPr>
              <w:spacing w:beforeLines="0" w:afterLines="0"/>
              <w:jc w:val="left"/>
              <w:rPr>
                <w:rFonts w:hint="eastAsia" w:ascii="宋体" w:hAnsi="宋体"/>
                <w:color w:val="000000"/>
                <w:sz w:val="22"/>
                <w:szCs w:val="24"/>
              </w:rPr>
            </w:pPr>
            <w:r>
              <w:rPr>
                <w:rFonts w:hint="eastAsia" w:ascii="宋体" w:hAnsi="宋体"/>
                <w:color w:val="000000"/>
                <w:sz w:val="22"/>
                <w:szCs w:val="24"/>
              </w:rPr>
              <w:t>15）配备可控、可调电源和MCT信号输出；</w:t>
            </w:r>
          </w:p>
          <w:p>
            <w:pPr>
              <w:spacing w:beforeLines="0" w:afterLines="0"/>
              <w:jc w:val="left"/>
              <w:rPr>
                <w:rFonts w:hint="eastAsia" w:ascii="宋体" w:hAnsi="宋体"/>
                <w:color w:val="000000"/>
                <w:sz w:val="22"/>
                <w:szCs w:val="24"/>
              </w:rPr>
            </w:pPr>
            <w:r>
              <w:rPr>
                <w:rFonts w:hint="eastAsia" w:ascii="宋体" w:hAnsi="宋体"/>
                <w:color w:val="000000"/>
                <w:sz w:val="22"/>
                <w:szCs w:val="24"/>
              </w:rPr>
              <w:t>16）配备音频线路输出接口，支持级联；</w:t>
            </w:r>
          </w:p>
          <w:p>
            <w:pPr>
              <w:spacing w:beforeLines="0" w:afterLines="0"/>
              <w:jc w:val="left"/>
              <w:rPr>
                <w:rFonts w:hint="eastAsia" w:ascii="宋体" w:hAnsi="宋体"/>
                <w:color w:val="000000"/>
                <w:sz w:val="22"/>
                <w:szCs w:val="24"/>
              </w:rPr>
            </w:pPr>
            <w:r>
              <w:rPr>
                <w:rFonts w:hint="eastAsia" w:ascii="宋体" w:hAnsi="宋体"/>
                <w:color w:val="000000"/>
                <w:sz w:val="22"/>
                <w:szCs w:val="24"/>
              </w:rPr>
              <w:t>17）配备硬件功能拨码输入开关；</w:t>
            </w:r>
          </w:p>
          <w:p>
            <w:pPr>
              <w:spacing w:beforeLines="0" w:afterLines="0"/>
              <w:jc w:val="left"/>
              <w:rPr>
                <w:rFonts w:hint="eastAsia" w:ascii="宋体" w:hAnsi="宋体"/>
                <w:color w:val="000000"/>
                <w:sz w:val="22"/>
                <w:szCs w:val="24"/>
              </w:rPr>
            </w:pPr>
            <w:r>
              <w:rPr>
                <w:rFonts w:hint="eastAsia" w:ascii="宋体" w:hAnsi="宋体"/>
                <w:color w:val="000000"/>
                <w:sz w:val="22"/>
                <w:szCs w:val="24"/>
              </w:rPr>
              <w:t>18）220V电源输入端口标配保险丝和电源滤波器。</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ind w:firstLine="220" w:firstLineChars="100"/>
              <w:jc w:val="both"/>
              <w:rPr>
                <w:rFonts w:hint="eastAsia" w:ascii="宋体" w:hAnsi="宋体"/>
                <w:color w:val="000000"/>
                <w:sz w:val="22"/>
                <w:szCs w:val="24"/>
              </w:rPr>
            </w:pPr>
            <w:r>
              <w:rPr>
                <w:rFonts w:hint="eastAsia" w:ascii="宋体" w:hAnsi="宋体"/>
                <w:color w:val="000000"/>
                <w:sz w:val="22"/>
                <w:szCs w:val="24"/>
              </w:rPr>
              <w:t>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p>
          <w:p>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播放器</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1)额定功率：不低于20W；</w:t>
            </w:r>
          </w:p>
          <w:p>
            <w:pPr>
              <w:spacing w:beforeLines="0" w:afterLines="0"/>
              <w:jc w:val="left"/>
              <w:rPr>
                <w:rFonts w:hint="eastAsia" w:ascii="宋体" w:hAnsi="宋体"/>
                <w:color w:val="000000"/>
                <w:sz w:val="22"/>
                <w:szCs w:val="24"/>
              </w:rPr>
            </w:pPr>
            <w:r>
              <w:rPr>
                <w:rFonts w:hint="eastAsia" w:ascii="宋体" w:hAnsi="宋体"/>
                <w:color w:val="000000"/>
                <w:sz w:val="22"/>
                <w:szCs w:val="24"/>
              </w:rPr>
              <w:t>2)阻抗：8Ω。</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通道自动适配器</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1)实现团队讲解发射机和团队讲解接收机自动链接；</w:t>
            </w:r>
          </w:p>
          <w:p>
            <w:pPr>
              <w:spacing w:beforeLines="0" w:afterLines="0"/>
              <w:jc w:val="left"/>
              <w:rPr>
                <w:rFonts w:hint="eastAsia" w:ascii="宋体" w:hAnsi="宋体"/>
                <w:color w:val="000000"/>
                <w:sz w:val="22"/>
                <w:szCs w:val="24"/>
              </w:rPr>
            </w:pPr>
            <w:r>
              <w:rPr>
                <w:rFonts w:hint="eastAsia" w:ascii="宋体" w:hAnsi="宋体"/>
                <w:color w:val="000000"/>
                <w:sz w:val="22"/>
                <w:szCs w:val="24"/>
              </w:rPr>
              <w:t>2)讲解区域无缝自动切换。</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讲解发射机</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1）采用全数字低延迟无线传输技术，音质清晰、达到高保真效果；总传输延迟&lt;0.5ms；采样率</w:t>
            </w:r>
            <w:r>
              <w:rPr>
                <w:rFonts w:hint="eastAsia" w:ascii="宋体" w:hAnsi="宋体"/>
                <w:color w:val="000000"/>
                <w:sz w:val="22"/>
                <w:szCs w:val="24"/>
                <w:lang w:eastAsia="zh-CN"/>
              </w:rPr>
              <w:t>不低于</w:t>
            </w:r>
            <w:r>
              <w:rPr>
                <w:rFonts w:hint="eastAsia" w:ascii="宋体" w:hAnsi="宋体"/>
                <w:color w:val="000000"/>
                <w:sz w:val="22"/>
                <w:szCs w:val="24"/>
              </w:rPr>
              <w:t>64KHz、采样精度</w:t>
            </w:r>
            <w:r>
              <w:rPr>
                <w:rFonts w:hint="eastAsia" w:ascii="宋体" w:hAnsi="宋体"/>
                <w:color w:val="000000"/>
                <w:sz w:val="22"/>
                <w:szCs w:val="24"/>
                <w:lang w:eastAsia="zh-CN"/>
              </w:rPr>
              <w:t>不低于</w:t>
            </w:r>
            <w:r>
              <w:rPr>
                <w:rFonts w:hint="eastAsia" w:ascii="宋体" w:hAnsi="宋体"/>
                <w:color w:val="000000"/>
                <w:sz w:val="22"/>
                <w:szCs w:val="24"/>
              </w:rPr>
              <w:t>24bit。</w:t>
            </w:r>
          </w:p>
          <w:p>
            <w:pPr>
              <w:spacing w:beforeLines="0" w:afterLines="0"/>
              <w:jc w:val="left"/>
              <w:rPr>
                <w:rFonts w:hint="eastAsia" w:ascii="宋体" w:hAnsi="宋体"/>
                <w:color w:val="000000"/>
                <w:sz w:val="22"/>
                <w:szCs w:val="24"/>
              </w:rPr>
            </w:pPr>
            <w:r>
              <w:rPr>
                <w:rFonts w:hint="eastAsia" w:ascii="宋体" w:hAnsi="宋体"/>
                <w:color w:val="000000"/>
                <w:sz w:val="22"/>
                <w:szCs w:val="24"/>
              </w:rPr>
              <w:t>2）数字无线音频信号采用2.4GHz通用频段，GFSK调制，无线信号安全、稳定；</w:t>
            </w:r>
          </w:p>
          <w:p>
            <w:pPr>
              <w:spacing w:beforeLines="0" w:afterLines="0"/>
              <w:jc w:val="left"/>
              <w:rPr>
                <w:rFonts w:hint="eastAsia" w:ascii="宋体" w:hAnsi="宋体"/>
                <w:color w:val="000000"/>
                <w:sz w:val="22"/>
                <w:szCs w:val="24"/>
              </w:rPr>
            </w:pPr>
            <w:r>
              <w:rPr>
                <w:rFonts w:hint="eastAsia" w:ascii="宋体" w:hAnsi="宋体"/>
                <w:color w:val="000000"/>
                <w:sz w:val="22"/>
                <w:szCs w:val="24"/>
              </w:rPr>
              <w:t>3）OLED显示屏，显示频道编号、音量、电量、及信号指示等信息；</w:t>
            </w:r>
          </w:p>
          <w:p>
            <w:pPr>
              <w:spacing w:beforeLines="0" w:afterLines="0"/>
              <w:jc w:val="left"/>
              <w:rPr>
                <w:rFonts w:hint="eastAsia" w:ascii="宋体" w:hAnsi="宋体"/>
                <w:color w:val="000000"/>
                <w:sz w:val="22"/>
                <w:szCs w:val="24"/>
              </w:rPr>
            </w:pPr>
            <w:r>
              <w:rPr>
                <w:rFonts w:hint="eastAsia" w:ascii="宋体" w:hAnsi="宋体"/>
                <w:color w:val="000000"/>
                <w:sz w:val="22"/>
                <w:szCs w:val="24"/>
              </w:rPr>
              <w:t>4）独立音量调节快捷键，具有</w:t>
            </w:r>
            <w:r>
              <w:rPr>
                <w:rFonts w:hint="eastAsia" w:ascii="宋体" w:hAnsi="宋体"/>
                <w:color w:val="000000"/>
                <w:sz w:val="22"/>
                <w:szCs w:val="24"/>
                <w:lang w:eastAsia="zh-CN"/>
              </w:rPr>
              <w:t>不少于</w:t>
            </w:r>
            <w:r>
              <w:rPr>
                <w:rFonts w:hint="eastAsia" w:ascii="宋体" w:hAnsi="宋体"/>
                <w:color w:val="000000"/>
                <w:sz w:val="22"/>
                <w:szCs w:val="24"/>
              </w:rPr>
              <w:t>32级音量调节；</w:t>
            </w:r>
          </w:p>
          <w:p>
            <w:pPr>
              <w:spacing w:beforeLines="0" w:afterLines="0"/>
              <w:jc w:val="left"/>
              <w:rPr>
                <w:rFonts w:hint="eastAsia" w:ascii="宋体" w:hAnsi="宋体"/>
                <w:color w:val="000000"/>
                <w:sz w:val="22"/>
                <w:szCs w:val="24"/>
              </w:rPr>
            </w:pPr>
            <w:r>
              <w:rPr>
                <w:rFonts w:hint="eastAsia" w:ascii="宋体" w:hAnsi="宋体"/>
                <w:color w:val="000000"/>
                <w:sz w:val="22"/>
                <w:szCs w:val="24"/>
              </w:rPr>
              <w:t>5）具有快速连续切换区域讲解功能，同时可支持自动适配讲解区域讲解以及展区内所有讲解区域的实时切换；</w:t>
            </w:r>
          </w:p>
          <w:p>
            <w:pPr>
              <w:spacing w:beforeLines="0" w:afterLines="0"/>
              <w:jc w:val="left"/>
              <w:rPr>
                <w:rFonts w:hint="eastAsia" w:ascii="宋体" w:hAnsi="宋体"/>
                <w:color w:val="000000"/>
                <w:sz w:val="22"/>
                <w:szCs w:val="24"/>
              </w:rPr>
            </w:pPr>
            <w:r>
              <w:rPr>
                <w:rFonts w:hint="eastAsia" w:ascii="宋体" w:hAnsi="宋体"/>
                <w:color w:val="000000"/>
                <w:sz w:val="22"/>
                <w:szCs w:val="24"/>
              </w:rPr>
              <w:t>6）音频传输采用</w:t>
            </w:r>
            <w:r>
              <w:rPr>
                <w:rFonts w:hint="eastAsia" w:ascii="宋体" w:hAnsi="宋体"/>
                <w:color w:val="000000"/>
                <w:sz w:val="22"/>
                <w:szCs w:val="24"/>
                <w:lang w:eastAsia="zh-CN"/>
              </w:rPr>
              <w:t>不低于</w:t>
            </w:r>
            <w:r>
              <w:rPr>
                <w:rFonts w:hint="eastAsia" w:ascii="宋体" w:hAnsi="宋体"/>
                <w:color w:val="000000"/>
                <w:sz w:val="22"/>
                <w:szCs w:val="24"/>
              </w:rPr>
              <w:t>全数字48kHz采样率，达到</w:t>
            </w:r>
            <w:r>
              <w:rPr>
                <w:rFonts w:hint="eastAsia" w:ascii="宋体" w:hAnsi="宋体"/>
                <w:color w:val="000000"/>
                <w:sz w:val="22"/>
                <w:szCs w:val="24"/>
                <w:lang w:eastAsia="zh-CN"/>
              </w:rPr>
              <w:t>不低于</w:t>
            </w:r>
            <w:r>
              <w:rPr>
                <w:rFonts w:hint="eastAsia" w:ascii="宋体" w:hAnsi="宋体"/>
                <w:color w:val="000000"/>
                <w:sz w:val="22"/>
                <w:szCs w:val="24"/>
              </w:rPr>
              <w:t>HDCD级别；</w:t>
            </w:r>
          </w:p>
          <w:p>
            <w:pPr>
              <w:spacing w:beforeLines="0" w:afterLines="0"/>
              <w:jc w:val="left"/>
              <w:rPr>
                <w:rFonts w:hint="eastAsia" w:ascii="宋体" w:hAnsi="宋体"/>
                <w:color w:val="000000"/>
                <w:sz w:val="22"/>
                <w:szCs w:val="24"/>
              </w:rPr>
            </w:pPr>
            <w:r>
              <w:rPr>
                <w:rFonts w:hint="eastAsia" w:ascii="宋体" w:hAnsi="宋体"/>
                <w:color w:val="000000"/>
                <w:sz w:val="22"/>
                <w:szCs w:val="24"/>
              </w:rPr>
              <w:t>7）支持自动链接功能，实现与讲解接收机的信道自动链接，无需手动输入通道编号。</w:t>
            </w:r>
          </w:p>
          <w:p>
            <w:pPr>
              <w:spacing w:beforeLines="0" w:afterLines="0"/>
              <w:jc w:val="left"/>
              <w:rPr>
                <w:rFonts w:hint="eastAsia" w:ascii="宋体" w:hAnsi="宋体"/>
                <w:color w:val="000000"/>
                <w:sz w:val="22"/>
                <w:szCs w:val="24"/>
              </w:rPr>
            </w:pPr>
            <w:r>
              <w:rPr>
                <w:rFonts w:hint="eastAsia" w:ascii="宋体" w:hAnsi="宋体"/>
                <w:color w:val="000000"/>
                <w:sz w:val="22"/>
                <w:szCs w:val="24"/>
              </w:rPr>
              <w:t>8）有效发射距离&gt;60米（LOS）；</w:t>
            </w:r>
          </w:p>
          <w:p>
            <w:pPr>
              <w:spacing w:beforeLines="0" w:afterLines="0"/>
              <w:jc w:val="left"/>
              <w:rPr>
                <w:rFonts w:hint="eastAsia" w:ascii="宋体" w:hAnsi="宋体"/>
                <w:color w:val="000000"/>
                <w:sz w:val="22"/>
                <w:szCs w:val="24"/>
              </w:rPr>
            </w:pPr>
            <w:r>
              <w:rPr>
                <w:rFonts w:hint="eastAsia" w:ascii="宋体" w:hAnsi="宋体"/>
                <w:color w:val="000000"/>
                <w:sz w:val="22"/>
                <w:szCs w:val="24"/>
              </w:rPr>
              <w:t>9）高容量可充电锂电池供电，待机&gt;100小时，连续工作&gt;8小时，低电量自动报警提示；</w:t>
            </w:r>
          </w:p>
          <w:p>
            <w:pPr>
              <w:spacing w:beforeLines="0" w:afterLines="0"/>
              <w:jc w:val="left"/>
              <w:rPr>
                <w:rFonts w:hint="eastAsia" w:ascii="宋体" w:hAnsi="宋体"/>
                <w:color w:val="000000"/>
                <w:sz w:val="22"/>
                <w:szCs w:val="24"/>
              </w:rPr>
            </w:pPr>
            <w:r>
              <w:rPr>
                <w:rFonts w:hint="eastAsia" w:ascii="宋体" w:hAnsi="宋体"/>
                <w:color w:val="000000"/>
                <w:sz w:val="22"/>
                <w:szCs w:val="24"/>
              </w:rPr>
              <w:t>10）发射机内置麦克风，无需外接头戴式麦克风即可直接进行讲解；</w:t>
            </w:r>
          </w:p>
          <w:p>
            <w:pPr>
              <w:spacing w:beforeLines="0" w:afterLines="0"/>
              <w:jc w:val="left"/>
              <w:rPr>
                <w:rFonts w:hint="eastAsia" w:ascii="宋体" w:hAnsi="宋体"/>
                <w:color w:val="000000"/>
                <w:sz w:val="22"/>
                <w:szCs w:val="24"/>
              </w:rPr>
            </w:pPr>
            <w:r>
              <w:rPr>
                <w:rFonts w:hint="eastAsia" w:ascii="宋体" w:hAnsi="宋体"/>
                <w:color w:val="000000"/>
                <w:sz w:val="22"/>
                <w:szCs w:val="24"/>
              </w:rPr>
              <w:t>11）可以自动扫描、检测所处环境内信道分配和频带使用情况。自动检测、提示、处理信道占用冲突情况；</w:t>
            </w:r>
          </w:p>
          <w:p>
            <w:pPr>
              <w:spacing w:beforeLines="0" w:afterLines="0"/>
              <w:jc w:val="left"/>
              <w:rPr>
                <w:rFonts w:hint="eastAsia" w:ascii="宋体" w:hAnsi="宋体"/>
                <w:color w:val="000000"/>
                <w:sz w:val="22"/>
                <w:szCs w:val="24"/>
              </w:rPr>
            </w:pPr>
            <w:r>
              <w:rPr>
                <w:rFonts w:hint="eastAsia" w:ascii="宋体" w:hAnsi="宋体"/>
                <w:color w:val="000000"/>
                <w:sz w:val="22"/>
                <w:szCs w:val="24"/>
              </w:rPr>
              <w:t>12）带有数字加密技术，有效的防止手机、电台等外界串扰。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9" w:hRule="atLeast"/>
        </w:trPr>
        <w:tc>
          <w:tcPr>
            <w:tcW w:w="94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讲解话筒</w:t>
            </w:r>
          </w:p>
        </w:tc>
        <w:tc>
          <w:tcPr>
            <w:tcW w:w="7980"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1)采用全数字低延迟无线传输技术，音质清晰、达到高保真效果；总传输延迟&lt;0.5ms；采样率64KHz、采样精度24bit。</w:t>
            </w:r>
          </w:p>
          <w:p>
            <w:pPr>
              <w:spacing w:beforeLines="0" w:afterLines="0"/>
              <w:jc w:val="left"/>
              <w:rPr>
                <w:rFonts w:hint="eastAsia" w:ascii="宋体" w:hAnsi="宋体"/>
                <w:color w:val="000000"/>
                <w:sz w:val="22"/>
                <w:szCs w:val="24"/>
              </w:rPr>
            </w:pPr>
            <w:r>
              <w:rPr>
                <w:rFonts w:hint="eastAsia" w:ascii="宋体" w:hAnsi="宋体" w:eastAsia="宋体"/>
                <w:color w:val="000000"/>
                <w:sz w:val="22"/>
                <w:szCs w:val="24"/>
                <w:lang w:val="en-US" w:eastAsia="zh-CN"/>
              </w:rPr>
              <w:t>2</w:t>
            </w:r>
            <w:r>
              <w:rPr>
                <w:rFonts w:hint="eastAsia" w:ascii="宋体" w:hAnsi="宋体"/>
                <w:color w:val="000000"/>
                <w:sz w:val="22"/>
                <w:szCs w:val="24"/>
              </w:rPr>
              <w:t>)充电电池供电，待机大于100小时；</w:t>
            </w:r>
          </w:p>
          <w:p>
            <w:pPr>
              <w:spacing w:beforeLines="0" w:afterLines="0"/>
              <w:jc w:val="left"/>
              <w:rPr>
                <w:rFonts w:hint="eastAsia" w:ascii="宋体" w:hAnsi="宋体"/>
                <w:color w:val="000000"/>
                <w:sz w:val="22"/>
                <w:szCs w:val="24"/>
              </w:rPr>
            </w:pPr>
            <w:r>
              <w:rPr>
                <w:rFonts w:hint="eastAsia" w:ascii="宋体" w:hAnsi="宋体" w:eastAsia="宋体"/>
                <w:color w:val="000000"/>
                <w:sz w:val="22"/>
                <w:szCs w:val="24"/>
                <w:lang w:val="en-US" w:eastAsia="zh-CN"/>
              </w:rPr>
              <w:t>3</w:t>
            </w:r>
            <w:r>
              <w:rPr>
                <w:rFonts w:hint="eastAsia" w:ascii="宋体" w:hAnsi="宋体"/>
                <w:color w:val="000000"/>
                <w:sz w:val="22"/>
                <w:szCs w:val="24"/>
              </w:rPr>
              <w:t>)具有电量指示功能。</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台</w:t>
            </w:r>
          </w:p>
        </w:tc>
        <w:tc>
          <w:tcPr>
            <w:tcW w:w="735" w:type="dxa"/>
            <w:tcBorders>
              <w:top w:val="single" w:color="auto" w:sz="6" w:space="0"/>
              <w:left w:val="single" w:color="auto" w:sz="6" w:space="0"/>
              <w:bottom w:val="single" w:color="auto" w:sz="6" w:space="0"/>
              <w:right w:val="single" w:color="auto" w:sz="6" w:space="0"/>
              <w:tl2br w:val="nil"/>
              <w:tr2bl w:val="nil"/>
            </w:tcBorders>
            <w:vAlign w:val="top"/>
          </w:tcPr>
          <w:p>
            <w:pPr>
              <w:spacing w:beforeLines="0" w:afterLines="0"/>
              <w:jc w:val="center"/>
              <w:rPr>
                <w:rFonts w:hint="eastAsia" w:ascii="宋体" w:hAnsi="宋体"/>
                <w:color w:val="000000"/>
                <w:sz w:val="22"/>
                <w:szCs w:val="24"/>
              </w:rPr>
            </w:pPr>
            <w:r>
              <w:rPr>
                <w:rFonts w:hint="eastAsia" w:ascii="宋体" w:hAnsi="宋体"/>
                <w:color w:val="000000"/>
                <w:sz w:val="22"/>
                <w:szCs w:val="24"/>
              </w:rPr>
              <w:t>2</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92" w:rightChars="-44" w:firstLine="640" w:firstLineChars="200"/>
        <w:jc w:val="left"/>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本合同包：不接受联合体报价。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楷体" w:hAnsi="楷体" w:eastAsia="楷体" w:cs="楷体"/>
          <w:color w:val="auto"/>
          <w:sz w:val="32"/>
          <w:highlight w:val="white"/>
          <w:lang w:val="en-US" w:eastAsia="zh-CN"/>
        </w:rPr>
      </w:pPr>
      <w:r>
        <w:rPr>
          <w:rFonts w:hint="eastAsia" w:ascii="楷体" w:hAnsi="楷体" w:eastAsia="楷体" w:cs="楷体"/>
          <w:color w:val="auto"/>
          <w:sz w:val="32"/>
          <w:lang w:val="en-US" w:eastAsia="zh-CN"/>
        </w:rPr>
        <w:t>（四）商务条件</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1.交付地点：</w:t>
      </w:r>
      <w:r>
        <w:rPr>
          <w:rFonts w:hint="eastAsia" w:ascii="仿宋" w:hAnsi="仿宋" w:eastAsia="仿宋" w:cs="仿宋"/>
          <w:color w:val="auto"/>
          <w:sz w:val="32"/>
          <w:lang w:val="zh-CN"/>
        </w:rPr>
        <w:t>福州市台江区高桥路69号福州市政务服务中心。</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2.交付时间：</w:t>
      </w:r>
      <w:r>
        <w:rPr>
          <w:rFonts w:hint="eastAsia" w:ascii="仿宋" w:hAnsi="仿宋" w:eastAsia="仿宋" w:cs="仿宋"/>
          <w:color w:val="auto"/>
          <w:sz w:val="32"/>
          <w:lang w:val="zh-CN"/>
        </w:rPr>
        <w:t>合同签订后的30日内交付。</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3.交付条件：</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3.1签订合同后，成交供应商向采购人提供符合采购人要求的正式增值税普通发票，采购人在15个工作日内支付30%合同价款。</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3.2到货并安装后，成交供应商向采购人提供符合采购人要求的正式增值税普通发票，采购人在15个工作日内支付50%合同价款。</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3.3</w:t>
      </w:r>
      <w:r>
        <w:rPr>
          <w:rFonts w:hint="eastAsia" w:ascii="仿宋" w:hAnsi="仿宋" w:eastAsia="仿宋" w:cs="仿宋"/>
          <w:color w:val="auto"/>
          <w:sz w:val="32"/>
          <w:lang w:val="zh-CN"/>
        </w:rPr>
        <w:t>项目验收合格后，成交供应商向采购人提供符合采购人要求的正式增值税普通发票，采购人在15个工作日内支付</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rPr>
        <w:t>0%合同价款。</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4.是否收取履约保证金：否</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验收标准：</w:t>
      </w:r>
      <w:r>
        <w:rPr>
          <w:rFonts w:hint="eastAsia" w:ascii="仿宋" w:hAnsi="仿宋" w:eastAsia="仿宋" w:cs="仿宋"/>
          <w:color w:val="auto"/>
          <w:sz w:val="32"/>
          <w:lang w:val="zh-CN"/>
        </w:rPr>
        <w:t>采购人在项目完成后，按采购文件、报价文件及合同内容对项目进行验收。</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1采购人最终用户负责货物清点和验收。成交人所提供的货物安装调试完成并且运行稳定后，采购人最终用户必须按本合同所约定的货物清单及要求对货物的品牌、外观、规格、数量、配件及安装调试后的使用性能、运行状况及其他进行验收，成交人必须在验收现场提供必要的技术支持。成交供应商应将货物免费配送至交货地点，对货物质量不合格的情况，应在30天内负责包修、包换，并承担由此产生的包装、运输等一切费用。包修、包换后的货物应免费送至采购人指定地点。</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.2验收结果经双方确认后，双方代表必须按《验收单》上规定的项目对照采购文件、合同填好验收结果并签名。</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.3如货物在质量保证期内被证明存在缺陷，包括潜在的缺陷或使用不合适的材料，采购人有权凭有关证明文件向成交人提出索赔。</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违约责任</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.1 因成交供应商原因造成采购合同无法按时签订的，视为成交供应商违约，应向采购人承担中标价20%的违约金，成交供应商违约对采购人造成的损失的，需另行支付相应的赔偿。</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6.</w:t>
      </w:r>
      <w:r>
        <w:rPr>
          <w:rFonts w:hint="eastAsia" w:ascii="仿宋" w:hAnsi="仿宋" w:eastAsia="仿宋" w:cs="仿宋"/>
          <w:color w:val="auto"/>
          <w:sz w:val="32"/>
          <w:lang w:val="en-US" w:eastAsia="zh-CN"/>
        </w:rPr>
        <w:t>2</w:t>
      </w:r>
      <w:r>
        <w:rPr>
          <w:rFonts w:hint="eastAsia" w:ascii="仿宋" w:hAnsi="仿宋" w:eastAsia="仿宋" w:cs="仿宋"/>
          <w:color w:val="auto"/>
          <w:sz w:val="32"/>
          <w:lang w:val="zh-CN" w:eastAsia="zh-CN"/>
        </w:rPr>
        <w:t>成交供应商需对安全生产负全部责任。安装时，要确保设备安全、相关工作人员的安全保障。</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6.</w:t>
      </w:r>
      <w:r>
        <w:rPr>
          <w:rFonts w:hint="eastAsia" w:ascii="仿宋" w:hAnsi="仿宋" w:eastAsia="仿宋" w:cs="仿宋"/>
          <w:color w:val="auto"/>
          <w:sz w:val="32"/>
          <w:lang w:val="en-US" w:eastAsia="zh-CN"/>
        </w:rPr>
        <w:t>3</w:t>
      </w:r>
      <w:r>
        <w:rPr>
          <w:rFonts w:hint="eastAsia" w:ascii="仿宋" w:hAnsi="仿宋" w:eastAsia="仿宋" w:cs="仿宋"/>
          <w:color w:val="auto"/>
          <w:sz w:val="32"/>
          <w:lang w:val="zh-CN" w:eastAsia="zh-CN"/>
        </w:rPr>
        <w:t>若因使用成交供应商提供的货物导致采购人与任何第三方发生法律纠纷的，包括但不限于物权纠纷、知识产权纠纷、专 利权纠纷、人身权纠纷等，则相应的责任均由成交供应商承担，与采购人无关。</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6.</w:t>
      </w:r>
      <w:r>
        <w:rPr>
          <w:rFonts w:hint="eastAsia" w:ascii="仿宋" w:hAnsi="仿宋" w:eastAsia="仿宋" w:cs="仿宋"/>
          <w:color w:val="auto"/>
          <w:sz w:val="32"/>
          <w:lang w:val="en-US" w:eastAsia="zh-CN"/>
        </w:rPr>
        <w:t>4</w:t>
      </w:r>
      <w:r>
        <w:rPr>
          <w:rFonts w:hint="eastAsia" w:ascii="仿宋" w:hAnsi="仿宋" w:eastAsia="仿宋" w:cs="仿宋"/>
          <w:color w:val="auto"/>
          <w:sz w:val="32"/>
          <w:lang w:val="zh-CN" w:eastAsia="zh-CN"/>
        </w:rPr>
        <w:t>采购人因主张权利所发生的费用（包括但不限于诉讼费、诉讼保全费、律师费、差旅费等），均由成交供应商承担。</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 在签订采购合同之后，有下列情形之一的，将视为成交供应商违约，采购人有权从履约保证金中取得补偿（如有提交履约保证金的），并可进一步提出追索和索赔：</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.1成交供应商提供的服务与投标文件响应不符，或未按合同规定的质量要求提供货物及服务的，采购人有权要求成交供应商赔偿由此造成的直接损失和间接损失；</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5</w:t>
      </w:r>
      <w:r>
        <w:rPr>
          <w:rFonts w:hint="eastAsia" w:ascii="仿宋" w:hAnsi="仿宋" w:eastAsia="仿宋" w:cs="仿宋"/>
          <w:color w:val="auto"/>
          <w:sz w:val="32"/>
          <w:lang w:val="zh-CN" w:eastAsia="zh-CN"/>
        </w:rPr>
        <w:t>.2成交供应商逾期提供货物及服务的（包括未按照应答时间提供货物及服务），每逾期一天，按合同总价格的万分之五支付违约金。</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在明确违约责任后，成交供应商应在接到书面通知书起七天内支付违约金、赔偿金等。</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6</w:t>
      </w:r>
      <w:r>
        <w:rPr>
          <w:rFonts w:hint="eastAsia" w:ascii="仿宋" w:hAnsi="仿宋" w:eastAsia="仿宋" w:cs="仿宋"/>
          <w:color w:val="auto"/>
          <w:sz w:val="32"/>
          <w:lang w:val="zh-CN" w:eastAsia="zh-CN"/>
        </w:rPr>
        <w:t>.</w:t>
      </w:r>
      <w:r>
        <w:rPr>
          <w:rFonts w:hint="eastAsia" w:ascii="仿宋" w:hAnsi="仿宋" w:eastAsia="仿宋" w:cs="仿宋"/>
          <w:color w:val="auto"/>
          <w:sz w:val="32"/>
          <w:lang w:val="en-US" w:eastAsia="zh-CN"/>
        </w:rPr>
        <w:t>7</w:t>
      </w:r>
      <w:r>
        <w:rPr>
          <w:rFonts w:hint="eastAsia" w:ascii="仿宋" w:hAnsi="仿宋" w:eastAsia="仿宋" w:cs="仿宋"/>
          <w:color w:val="auto"/>
          <w:sz w:val="32"/>
          <w:lang w:val="zh-CN" w:eastAsia="zh-CN"/>
        </w:rPr>
        <w:t> 本采购文件未明确的其它约定事项或条款，待采购人与成交供应商签订合同时，由双方协商订立。</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7.</w:t>
      </w:r>
      <w:r>
        <w:rPr>
          <w:rFonts w:hint="eastAsia" w:ascii="仿宋" w:hAnsi="仿宋" w:eastAsia="仿宋" w:cs="仿宋"/>
          <w:color w:val="auto"/>
          <w:sz w:val="32"/>
          <w:lang w:val="zh-CN" w:eastAsia="zh-CN"/>
        </w:rPr>
        <w:t>供应商报价应包括货物制造、运输、保险、产品检验检测、安装调试、税费以及售后服务等费用。</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lang w:val="zh-CN" w:eastAsia="zh-CN"/>
        </w:rPr>
        <w:t>货物包装方式</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lang w:val="zh-CN" w:eastAsia="zh-CN"/>
        </w:rPr>
        <w:t>.1包装:货物交货时应按国家有关标准要求进行包装。</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8</w:t>
      </w:r>
      <w:r>
        <w:rPr>
          <w:rFonts w:hint="eastAsia" w:ascii="仿宋" w:hAnsi="仿宋" w:eastAsia="仿宋" w:cs="仿宋"/>
          <w:color w:val="auto"/>
          <w:sz w:val="32"/>
          <w:lang w:val="zh-CN" w:eastAsia="zh-CN"/>
        </w:rPr>
        <w:t>.2方式:包装必须与运输方式相适应,包装方式的确定及包装费用均由成交人负责；由于不适当的包装而造成货物在运输过程中有任何损坏由成交人负责。</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zh-CN" w:eastAsia="zh-CN"/>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9.</w:t>
      </w:r>
      <w:r>
        <w:rPr>
          <w:rFonts w:hint="eastAsia" w:ascii="仿宋" w:hAnsi="仿宋" w:eastAsia="仿宋" w:cs="仿宋"/>
          <w:color w:val="auto"/>
          <w:sz w:val="32"/>
          <w:lang w:val="zh-CN" w:eastAsia="zh-CN"/>
        </w:rPr>
        <w:t>安装、调试</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9</w:t>
      </w:r>
      <w:r>
        <w:rPr>
          <w:rFonts w:hint="eastAsia" w:ascii="仿宋" w:hAnsi="仿宋" w:eastAsia="仿宋" w:cs="仿宋"/>
          <w:color w:val="auto"/>
          <w:sz w:val="32"/>
          <w:lang w:val="zh-CN" w:eastAsia="zh-CN"/>
        </w:rPr>
        <w:t>.1成交人应向采购人提供安装、调试的进度计划表。</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9</w:t>
      </w:r>
      <w:r>
        <w:rPr>
          <w:rFonts w:hint="eastAsia" w:ascii="仿宋" w:hAnsi="仿宋" w:eastAsia="仿宋" w:cs="仿宋"/>
          <w:color w:val="auto"/>
          <w:sz w:val="32"/>
          <w:lang w:val="zh-CN" w:eastAsia="zh-CN"/>
        </w:rPr>
        <w:t>.2合同签订后,由成交人负责将货物按签订合同的具体数量、具体地点运送到最终目的地,并负责派技术人员到现场进行安装、调试至验收合格交付采购人使用。成交人负责组织专业技术人员进行货物调试,采购人应提供必须的基本条件和专人配合,保证各项安装工作顺利进行。货物到达最终采购人现场后,成交人的工程师到采购人的现场安装货物,同时应向采购人介绍货物功能及特殊分析。</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eastAsia="zh-CN"/>
        </w:rPr>
      </w:pPr>
      <w:r>
        <w:rPr>
          <w:rFonts w:hint="eastAsia" w:ascii="仿宋" w:hAnsi="仿宋" w:eastAsia="仿宋" w:cs="仿宋"/>
          <w:color w:val="auto"/>
          <w:sz w:val="32"/>
          <w:lang w:val="en-US" w:eastAsia="zh-CN"/>
        </w:rPr>
        <w:t>9</w:t>
      </w:r>
      <w:r>
        <w:rPr>
          <w:rFonts w:hint="eastAsia" w:ascii="仿宋" w:hAnsi="仿宋" w:eastAsia="仿宋" w:cs="仿宋"/>
          <w:color w:val="auto"/>
          <w:sz w:val="32"/>
          <w:lang w:val="zh-CN" w:eastAsia="zh-CN"/>
        </w:rPr>
        <w:t>.3货物进场后须在接到采购人安装通知后，在30日内安装调试完毕并交付使用。</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楷体" w:hAnsi="楷体" w:eastAsia="楷体" w:cs="楷体"/>
          <w:color w:val="auto"/>
          <w:sz w:val="32"/>
          <w:lang w:val="zh-CN"/>
        </w:rPr>
      </w:pPr>
      <w:r>
        <w:rPr>
          <w:rFonts w:hint="eastAsia" w:ascii="楷体" w:hAnsi="楷体" w:eastAsia="楷体" w:cs="楷体"/>
          <w:color w:val="auto"/>
          <w:sz w:val="32"/>
          <w:lang w:val="zh-CN"/>
        </w:rPr>
        <w:t>（五）其他事项</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1</w:t>
      </w:r>
      <w:r>
        <w:rPr>
          <w:rFonts w:hint="eastAsia" w:ascii="仿宋" w:hAnsi="仿宋" w:eastAsia="仿宋" w:cs="仿宋"/>
          <w:color w:val="auto"/>
          <w:sz w:val="32"/>
          <w:lang w:val="en-US" w:eastAsia="zh-CN"/>
        </w:rPr>
        <w:t>.</w:t>
      </w:r>
      <w:r>
        <w:rPr>
          <w:rFonts w:hint="eastAsia" w:ascii="仿宋" w:hAnsi="仿宋" w:eastAsia="仿宋" w:cs="仿宋"/>
          <w:color w:val="auto"/>
          <w:sz w:val="32"/>
          <w:lang w:val="zh-CN"/>
        </w:rPr>
        <w:t>除采购文件另有规定外，若出现有关法律、法规和规章有强制性规定但招标文件未列明的情形，则投标人应按照有关法律、法规和规章强制性规定执行。</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2.其他：</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2.1 响应人报价包括但不限于为报价而发生的调研费、差旅费、人工费、为实施和完成合同所需的保险费、相关税金等一切费用，除保险费外，采购人不再支付其他费用，报价超过最高限价的其报价无效。</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zh-CN"/>
        </w:rPr>
        <w:t>2.2 响应人漏报的单价或每单价报价中漏报、少报的费用，视为此项费用已隐含在报价中，成交后不得再向采购人收取任何费用。</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1成交人应对所投产品提供至少一年免费保修期，免费保修期自全部设备安装调试正常，且验收合格签名之日起计算。保修期内，须按合同条款提供服务，非因操作不当造成要更换的零配件及设备由成交人负责包修、包换。成交人在保修期内须提供免费上门维修服务，并进行终身维护。如保修期内同一故障发生三次，或在两个月内无法修复，成交人无条件换货，立即更换新机；如保修期内因故障停机，按停机时间的双倍顺延保修期。保修期满前1个月内成交人应负责对设备进行一次全面检查，如发现潜在问题，应负责排除，保证设备正常运行。费用均包含在响应报价内。</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2在保修期内设备运行发生故障时成交人在接到采购人故障通知后2小时内响应，并在24小时内派工程师到达现场，负责修理或更换有缺陷的零部件或整机，如一时无法修复的设备，成交人应提供备品供采购人临床使用。在保修期一年内出现属设备质量问题，采购人则有权要求更换整机，更换的保修期从更换之日起相应顺延。费用均包含在投标报价内。</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.3免费保修期结束后，成交人应在设备使用地区指定有维修能力的代理机构对设备在必要时进行定期维护和修理。</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.4免费保修期结束后，成交人仍应负责对设备提供售后服务，并保障备品配件的供应。</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.5供应商应在响应文件中详细提供售后服务承诺、保障措施、保修期内的维保范围和内容、保修期后的维保服务内容，及服务费用的报价。保修期后的服务不收取上门服务人工及差旅费。</w:t>
      </w:r>
    </w:p>
    <w:p>
      <w:pPr>
        <w:keepNext w:val="0"/>
        <w:keepLines w:val="0"/>
        <w:pageBreakBefore w:val="0"/>
        <w:kinsoku/>
        <w:wordWrap/>
        <w:overflowPunct/>
        <w:topLinePunct w:val="0"/>
        <w:autoSpaceDE/>
        <w:autoSpaceDN/>
        <w:bidi w:val="0"/>
        <w:adjustRightInd/>
        <w:spacing w:beforeLines="0" w:afterLines="0" w:line="560" w:lineRule="exact"/>
        <w:ind w:left="0" w:leftChars="0" w:right="0" w:rightChars="0" w:firstLine="640"/>
        <w:textAlignment w:val="auto"/>
        <w:rPr>
          <w:rFonts w:hint="eastAsia" w:ascii="仿宋" w:hAnsi="仿宋" w:eastAsia="仿宋" w:cs="仿宋"/>
          <w:color w:val="auto"/>
          <w:sz w:val="32"/>
          <w:lang w:val="zh-CN"/>
        </w:rPr>
      </w:pPr>
      <w:r>
        <w:rPr>
          <w:rFonts w:hint="eastAsia" w:ascii="仿宋" w:hAnsi="仿宋" w:eastAsia="仿宋" w:cs="仿宋"/>
          <w:color w:val="auto"/>
          <w:sz w:val="32"/>
          <w:lang w:val="en-US" w:eastAsia="zh-CN"/>
        </w:rPr>
        <w:t>3</w:t>
      </w:r>
      <w:r>
        <w:rPr>
          <w:rFonts w:hint="eastAsia" w:ascii="仿宋" w:hAnsi="仿宋" w:eastAsia="仿宋" w:cs="仿宋"/>
          <w:color w:val="auto"/>
          <w:sz w:val="32"/>
          <w:lang w:val="zh-CN"/>
        </w:rPr>
        <w:t>.</w:t>
      </w:r>
      <w:r>
        <w:rPr>
          <w:rFonts w:hint="eastAsia" w:ascii="仿宋" w:hAnsi="仿宋" w:eastAsia="仿宋" w:cs="仿宋"/>
          <w:color w:val="auto"/>
          <w:sz w:val="32"/>
          <w:lang w:val="en-US" w:eastAsia="zh-CN"/>
        </w:rPr>
        <w:t>6</w:t>
      </w:r>
      <w:r>
        <w:rPr>
          <w:rFonts w:hint="eastAsia" w:ascii="仿宋" w:hAnsi="仿宋" w:eastAsia="仿宋" w:cs="仿宋"/>
          <w:color w:val="auto"/>
          <w:sz w:val="32"/>
          <w:lang w:val="zh-CN"/>
        </w:rPr>
        <w:t>技术培训：成交人须对设备进行安装和调试，并列好计划对设备的使用操作、设备维修、故障排除、日常保养等方面提供现场技术培训，直到受训的技术人员能独立操作为止；对相应的受训人员将免费提供相应讲义教材等资料。技术培训没完成，不进行设备最终验收。</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二、供应商资格要求</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符合《中华人民共和国政府采购法》第二十二条规定条件，提供报价人的资格声明、营业执照等。</w:t>
      </w:r>
    </w:p>
    <w:p>
      <w:pPr>
        <w:keepNext w:val="0"/>
        <w:keepLines w:val="0"/>
        <w:pageBreakBefore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三、比价方法和标准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供应商须按报价文件格式提供1份报价文件。所有资料加盖公章、装订成册后，加盖骑缝章，用信封密封并在封口处加盖公章。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合同包采用最低价比价方法和标准：经比价小组评审，在提交的报价文件全部满足采购文件实质性要求的供应商不少于三家的前提下，依据统一的价格要素评定最低报价（报价不具合理性作无效报价处理），以提出最低报价的报价人作为成交候选供应商。</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比价小组由</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人组成。</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ascii="仿宋" w:hAnsi="仿宋" w:eastAsia="仿宋"/>
          <w:b/>
          <w:sz w:val="32"/>
          <w:szCs w:val="32"/>
        </w:rPr>
      </w:pPr>
      <w:r>
        <w:rPr>
          <w:rFonts w:hint="eastAsia" w:ascii="仿宋" w:hAnsi="仿宋" w:eastAsia="仿宋" w:cs="仿宋"/>
          <w:kern w:val="0"/>
          <w:sz w:val="32"/>
          <w:szCs w:val="32"/>
        </w:rPr>
        <w:br w:type="page"/>
      </w:r>
      <w:r>
        <w:rPr>
          <w:rFonts w:hint="eastAsia" w:ascii="仿宋" w:hAnsi="仿宋" w:eastAsia="仿宋" w:cs="宋体fal"/>
          <w:color w:val="000000"/>
          <w:kern w:val="0"/>
          <w:sz w:val="32"/>
          <w:szCs w:val="32"/>
        </w:rPr>
        <w:t>附件：</w:t>
      </w:r>
      <w:r>
        <w:rPr>
          <w:rFonts w:hint="eastAsia" w:ascii="仿宋" w:hAnsi="仿宋" w:eastAsia="仿宋"/>
          <w:sz w:val="32"/>
          <w:szCs w:val="32"/>
        </w:rPr>
        <w:t>报价文件格式</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bookmarkStart w:id="0" w:name="_Toc359935966"/>
      <w:bookmarkStart w:id="1" w:name="_Toc282523100"/>
      <w:bookmarkStart w:id="2" w:name="_Toc286153836"/>
      <w:bookmarkStart w:id="3" w:name="_Toc325095601"/>
      <w:bookmarkStart w:id="4" w:name="_Toc282523292"/>
      <w:bookmarkStart w:id="5" w:name="_Toc281918611"/>
      <w:r>
        <w:rPr>
          <w:rFonts w:ascii="仿宋_GB2312" w:eastAsia="仿宋_GB2312"/>
          <w:b/>
          <w:szCs w:val="28"/>
        </w:rPr>
        <w:t>1</w:t>
      </w:r>
      <w:r>
        <w:rPr>
          <w:rFonts w:hint="eastAsia" w:ascii="仿宋_GB2312" w:eastAsia="仿宋_GB2312"/>
          <w:b/>
          <w:szCs w:val="28"/>
        </w:rPr>
        <w:t>、报价书</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hAnsi="宋体" w:eastAsia="仿宋_GB2312"/>
          <w:sz w:val="24"/>
        </w:rPr>
      </w:pPr>
      <w:r>
        <w:rPr>
          <w:rFonts w:hint="eastAsia" w:ascii="仿宋_GB2312" w:hAnsi="宋体" w:eastAsia="仿宋_GB2312"/>
          <w:sz w:val="24"/>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r>
        <w:rPr>
          <w:rFonts w:ascii="仿宋_GB2312" w:hAnsi="宋体" w:eastAsia="仿宋_GB2312"/>
          <w:sz w:val="24"/>
          <w:u w:val="single"/>
        </w:rPr>
        <w:t xml:space="preserve">       </w:t>
      </w:r>
    </w:p>
    <w:p>
      <w:pPr>
        <w:pStyle w:val="5"/>
        <w:keepNext w:val="0"/>
        <w:keepLines w:val="0"/>
        <w:pageBreakBefore w:val="0"/>
        <w:kinsoku/>
        <w:wordWrap/>
        <w:overflowPunct/>
        <w:topLinePunct w:val="0"/>
        <w:autoSpaceDE/>
        <w:autoSpaceDN/>
        <w:bidi w:val="0"/>
        <w:adjustRightInd/>
        <w:spacing w:line="560" w:lineRule="exact"/>
        <w:ind w:left="0" w:leftChars="0" w:firstLine="540" w:firstLineChars="225"/>
        <w:textAlignment w:val="auto"/>
        <w:rPr>
          <w:rFonts w:ascii="仿宋_GB2312" w:hAnsi="华文中宋" w:eastAsia="仿宋_GB2312"/>
          <w:bCs/>
          <w:sz w:val="24"/>
          <w:szCs w:val="24"/>
          <w:u w:val="single"/>
        </w:rPr>
      </w:pPr>
      <w:r>
        <w:rPr>
          <w:rFonts w:hint="eastAsia" w:ascii="仿宋_GB2312" w:eastAsia="仿宋_GB2312"/>
          <w:sz w:val="24"/>
          <w:szCs w:val="24"/>
        </w:rPr>
        <w:t>根据贵方为</w:t>
      </w:r>
      <w:r>
        <w:rPr>
          <w:rFonts w:ascii="仿宋_GB2312" w:hAnsi="华文中宋" w:eastAsia="仿宋_GB2312"/>
          <w:bCs/>
          <w:sz w:val="24"/>
          <w:szCs w:val="24"/>
          <w:u w:val="single"/>
        </w:rPr>
        <w:t xml:space="preserve">           </w:t>
      </w:r>
      <w:r>
        <w:rPr>
          <w:rFonts w:hint="eastAsia" w:ascii="仿宋_GB2312" w:hAnsi="华文中宋" w:eastAsia="仿宋_GB2312"/>
          <w:bCs/>
          <w:sz w:val="24"/>
          <w:szCs w:val="24"/>
          <w:u w:val="single"/>
          <w:lang w:val="en-US" w:eastAsia="zh-CN"/>
        </w:rPr>
        <w:t xml:space="preserve">             </w:t>
      </w:r>
      <w:r>
        <w:rPr>
          <w:rFonts w:ascii="仿宋_GB2312" w:hAnsi="华文中宋" w:eastAsia="仿宋_GB2312"/>
          <w:bCs/>
          <w:sz w:val="24"/>
          <w:szCs w:val="24"/>
          <w:u w:val="single"/>
        </w:rPr>
        <w:t xml:space="preserve">          </w:t>
      </w:r>
      <w:r>
        <w:rPr>
          <w:rFonts w:hint="eastAsia" w:ascii="仿宋_GB2312" w:eastAsia="仿宋_GB2312"/>
          <w:sz w:val="24"/>
          <w:szCs w:val="24"/>
        </w:rPr>
        <w:t>的报价邀请，本签字代表（全名、职务）正式授权并代表报价人提交纸质报价文件一份。</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据此函，签字代表宣布同意如下：</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所附报价表中提交的应提供和交付的货物及服务报价为人民币</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，即</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（中文表述）。</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报价人已详细审查全部采购文件，包括修改文件（如有的话）和有关附件，</w:t>
      </w:r>
      <w:r>
        <w:rPr>
          <w:rFonts w:hint="eastAsia" w:ascii="仿宋_GB2312" w:hAnsi="华文楷体" w:eastAsia="仿宋_GB2312"/>
          <w:sz w:val="24"/>
        </w:rPr>
        <w:t>将自行承担因对全部</w:t>
      </w:r>
      <w:r>
        <w:rPr>
          <w:rFonts w:hint="eastAsia" w:ascii="仿宋_GB2312" w:hAnsi="宋体" w:eastAsia="仿宋_GB2312"/>
          <w:sz w:val="24"/>
        </w:rPr>
        <w:t>采购</w:t>
      </w:r>
      <w:r>
        <w:rPr>
          <w:rFonts w:hint="eastAsia" w:ascii="仿宋_GB2312" w:hAnsi="华文楷体" w:eastAsia="仿宋_GB2312"/>
          <w:sz w:val="24"/>
        </w:rPr>
        <w:t>文件理解不正确或误解而产生的相应后果。</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报价人保证遵守采购文件的全部规定，报价人所提交的材料中所含的信息均为真实、准确、完整，且不具有任何误导性。</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报价人将按采购文件的规定履行合同责任和义务。</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本报价文件自报价日起报价有效期为：</w:t>
      </w:r>
      <w:r>
        <w:rPr>
          <w:rFonts w:ascii="仿宋_GB2312" w:hAnsi="宋体" w:eastAsia="仿宋_GB2312"/>
          <w:sz w:val="24"/>
        </w:rPr>
        <w:t>90</w:t>
      </w:r>
      <w:r>
        <w:rPr>
          <w:rFonts w:hint="eastAsia" w:ascii="仿宋_GB2312" w:hAnsi="宋体" w:eastAsia="仿宋_GB2312"/>
          <w:sz w:val="24"/>
        </w:rPr>
        <w:t>个日历日的期限内保持有效。</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报价人同意提供按照贵方可能要求的与其报价有关的一切数据或资料，完全理解贵方不一定要接受最低的报价或收到的任何报价。</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 xml:space="preserve">8. </w:t>
      </w:r>
      <w:r>
        <w:rPr>
          <w:rFonts w:hint="eastAsia" w:ascii="仿宋_GB2312" w:hAnsi="宋体" w:eastAsia="仿宋_GB2312"/>
          <w:sz w:val="24"/>
        </w:rPr>
        <w:t>与本报价有关的一切正式往来通讯请寄：</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地址：</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邮编：</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电话：</w:t>
      </w:r>
      <w:r>
        <w:rPr>
          <w:rFonts w:ascii="仿宋_GB2312" w:hAnsi="宋体" w:eastAsia="仿宋_GB2312"/>
          <w:sz w:val="24"/>
        </w:rPr>
        <w:t xml:space="preserve"> </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传真：</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报价人代表签章：</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年</w:t>
      </w:r>
      <w:r>
        <w:rPr>
          <w:rFonts w:ascii="仿宋_GB2312" w:hAnsi="宋体" w:eastAsia="仿宋_GB2312"/>
          <w:sz w:val="24"/>
        </w:rPr>
        <w:t xml:space="preserve"> </w:t>
      </w:r>
      <w:r>
        <w:rPr>
          <w:rFonts w:ascii="仿宋_GB2312" w:hAnsi="宋体" w:eastAsia="仿宋_GB2312"/>
          <w:sz w:val="24"/>
          <w:u w:val="single"/>
        </w:rPr>
        <w:t xml:space="preserve">   </w:t>
      </w:r>
      <w:r>
        <w:rPr>
          <w:rFonts w:hint="eastAsia" w:ascii="仿宋_GB2312" w:hAnsi="宋体" w:eastAsia="仿宋_GB2312"/>
          <w:sz w:val="24"/>
        </w:rPr>
        <w:t>月</w:t>
      </w:r>
      <w:r>
        <w:rPr>
          <w:rFonts w:ascii="仿宋_GB2312" w:hAnsi="宋体" w:eastAsia="仿宋_GB2312"/>
          <w:sz w:val="24"/>
        </w:rPr>
        <w:t xml:space="preserve"> </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4"/>
        <w:keepNext w:val="0"/>
        <w:keepLines w:val="0"/>
        <w:pageBreakBefore w:val="0"/>
        <w:numPr>
          <w:ilvl w:val="0"/>
          <w:numId w:val="1"/>
        </w:numPr>
        <w:kinsoku/>
        <w:wordWrap/>
        <w:overflowPunct/>
        <w:topLinePunct w:val="0"/>
        <w:autoSpaceDE/>
        <w:autoSpaceDN/>
        <w:bidi w:val="0"/>
        <w:adjustRightInd/>
        <w:spacing w:line="560" w:lineRule="exact"/>
        <w:ind w:left="0" w:leftChars="0"/>
        <w:jc w:val="center"/>
        <w:textAlignment w:val="auto"/>
        <w:outlineLvl w:val="2"/>
        <w:rPr>
          <w:rFonts w:hint="eastAsia" w:ascii="仿宋_GB2312" w:eastAsia="仿宋_GB2312"/>
          <w:b/>
          <w:szCs w:val="28"/>
        </w:rPr>
      </w:pPr>
      <w:bookmarkStart w:id="6" w:name="_Toc373327923"/>
      <w:bookmarkStart w:id="7" w:name="_Toc382570830"/>
      <w:bookmarkStart w:id="8" w:name="_Toc382571084"/>
      <w:bookmarkStart w:id="9" w:name="_Toc373327762"/>
      <w:r>
        <w:rPr>
          <w:rFonts w:hint="eastAsia" w:ascii="仿宋_GB2312" w:eastAsia="仿宋_GB2312"/>
          <w:b/>
          <w:szCs w:val="28"/>
        </w:rPr>
        <w:t>法定代表人授权书</w:t>
      </w:r>
      <w:bookmarkEnd w:id="6"/>
      <w:bookmarkEnd w:id="7"/>
      <w:bookmarkEnd w:id="8"/>
      <w:bookmarkEnd w:id="9"/>
    </w:p>
    <w:p>
      <w:pPr>
        <w:pStyle w:val="14"/>
        <w:keepNext w:val="0"/>
        <w:keepLines w:val="0"/>
        <w:pageBreakBefore w:val="0"/>
        <w:numPr>
          <w:ilvl w:val="0"/>
          <w:numId w:val="0"/>
        </w:numPr>
        <w:kinsoku/>
        <w:wordWrap/>
        <w:overflowPunct/>
        <w:topLinePunct w:val="0"/>
        <w:autoSpaceDE/>
        <w:autoSpaceDN/>
        <w:bidi w:val="0"/>
        <w:adjustRightInd/>
        <w:spacing w:line="560" w:lineRule="exact"/>
        <w:ind w:left="0" w:leftChars="0"/>
        <w:jc w:val="both"/>
        <w:textAlignment w:val="auto"/>
        <w:outlineLvl w:val="2"/>
        <w:rPr>
          <w:rFonts w:hint="eastAsia" w:ascii="仿宋_GB2312" w:eastAsia="仿宋_GB2312"/>
          <w:b/>
          <w:szCs w:val="28"/>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u w:val="single"/>
        </w:rPr>
        <w:t>致</w:t>
      </w:r>
      <w:r>
        <w:rPr>
          <w:rFonts w:ascii="仿宋_GB2312" w:hAnsi="宋体"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r>
        <w:rPr>
          <w:rFonts w:ascii="仿宋_GB2312" w:hAnsi="宋体" w:eastAsia="仿宋_GB2312"/>
          <w:sz w:val="24"/>
          <w:u w:val="single"/>
        </w:rPr>
        <w:t xml:space="preserve"> </w:t>
      </w:r>
      <w:r>
        <w:rPr>
          <w:rFonts w:hint="eastAsia" w:ascii="仿宋_GB2312" w:hAnsi="宋体" w:eastAsia="仿宋_GB2312"/>
          <w:sz w:val="24"/>
        </w:rPr>
        <w:t>：</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480" w:firstLineChars="200"/>
        <w:jc w:val="left"/>
        <w:textAlignment w:val="auto"/>
        <w:rPr>
          <w:rFonts w:ascii="仿宋_GB2312" w:hAnsi="宋体" w:eastAsia="仿宋_GB2312"/>
          <w:sz w:val="24"/>
        </w:rPr>
      </w:pPr>
      <w:r>
        <w:rPr>
          <w:rFonts w:hint="eastAsia" w:ascii="仿宋_GB2312" w:eastAsia="仿宋_GB2312"/>
          <w:sz w:val="24"/>
          <w:u w:val="single"/>
        </w:rPr>
        <w:t>（报价人全称）</w:t>
      </w:r>
      <w:r>
        <w:rPr>
          <w:rFonts w:hint="eastAsia" w:ascii="仿宋_GB2312" w:eastAsia="仿宋_GB2312"/>
          <w:sz w:val="24"/>
        </w:rPr>
        <w:t>法定代表人</w:t>
      </w:r>
      <w:r>
        <w:rPr>
          <w:rFonts w:ascii="仿宋_GB2312" w:eastAsia="仿宋_GB2312"/>
          <w:sz w:val="24"/>
          <w:u w:val="single"/>
        </w:rPr>
        <w:t xml:space="preserve">        </w:t>
      </w:r>
      <w:r>
        <w:rPr>
          <w:rFonts w:ascii="仿宋_GB2312" w:eastAsia="仿宋_GB2312"/>
          <w:sz w:val="24"/>
        </w:rPr>
        <w:t xml:space="preserve"> </w:t>
      </w:r>
      <w:r>
        <w:rPr>
          <w:rFonts w:hint="eastAsia" w:ascii="仿宋_GB2312" w:eastAsia="仿宋_GB2312"/>
          <w:sz w:val="24"/>
        </w:rPr>
        <w:t>授权</w:t>
      </w:r>
      <w:r>
        <w:rPr>
          <w:rFonts w:ascii="仿宋_GB2312" w:eastAsia="仿宋_GB2312"/>
          <w:sz w:val="24"/>
          <w:u w:val="single"/>
        </w:rPr>
        <w:t xml:space="preserve">         </w:t>
      </w:r>
      <w:r>
        <w:rPr>
          <w:rFonts w:hint="eastAsia" w:ascii="仿宋_GB2312" w:eastAsia="仿宋_GB2312"/>
          <w:sz w:val="24"/>
        </w:rPr>
        <w:t>（报价人代表姓名）为报价人代表，</w:t>
      </w:r>
      <w:r>
        <w:rPr>
          <w:rFonts w:hint="eastAsia" w:ascii="仿宋_GB2312" w:hAnsi="宋体" w:eastAsia="仿宋_GB2312"/>
          <w:sz w:val="24"/>
        </w:rPr>
        <w:t>代表本公司</w:t>
      </w:r>
      <w:r>
        <w:rPr>
          <w:rFonts w:hint="eastAsia" w:ascii="仿宋_GB2312" w:eastAsia="仿宋_GB2312"/>
          <w:sz w:val="24"/>
        </w:rPr>
        <w:t>参加贵</w:t>
      </w:r>
      <w:r>
        <w:rPr>
          <w:rFonts w:hint="eastAsia" w:ascii="仿宋_GB2312" w:eastAsia="仿宋_GB2312"/>
          <w:sz w:val="24"/>
          <w:lang w:eastAsia="zh-CN"/>
        </w:rPr>
        <w:t>方</w:t>
      </w:r>
      <w:r>
        <w:rPr>
          <w:rFonts w:hint="eastAsia" w:ascii="仿宋_GB2312" w:eastAsia="仿宋_GB2312"/>
          <w:sz w:val="24"/>
        </w:rPr>
        <w:t>组织的</w:t>
      </w:r>
      <w:r>
        <w:rPr>
          <w:rFonts w:ascii="仿宋_GB2312" w:hAnsi="华文中宋" w:eastAsia="仿宋_GB2312"/>
          <w:bCs/>
          <w:sz w:val="24"/>
          <w:szCs w:val="24"/>
          <w:u w:val="single"/>
        </w:rPr>
        <w:t xml:space="preserve">                    </w:t>
      </w:r>
      <w:r>
        <w:rPr>
          <w:rFonts w:hint="eastAsia" w:ascii="仿宋_GB2312" w:hAnsi="宋体" w:eastAsia="仿宋_GB2312"/>
          <w:sz w:val="24"/>
          <w:szCs w:val="24"/>
        </w:rPr>
        <w:t>项目</w:t>
      </w:r>
      <w:r>
        <w:rPr>
          <w:rFonts w:hint="eastAsia" w:ascii="仿宋_GB2312" w:eastAsia="仿宋_GB2312"/>
          <w:sz w:val="24"/>
        </w:rPr>
        <w:t>比价活动，全权代表本公司处理报价</w:t>
      </w:r>
      <w:r>
        <w:rPr>
          <w:rFonts w:hint="eastAsia" w:ascii="仿宋_GB2312" w:hAnsi="宋体" w:eastAsia="仿宋_GB2312"/>
          <w:sz w:val="24"/>
        </w:rPr>
        <w:t>过程</w:t>
      </w:r>
      <w:r>
        <w:rPr>
          <w:rFonts w:hint="eastAsia" w:ascii="仿宋_GB2312" w:eastAsia="仿宋_GB2312"/>
          <w:sz w:val="24"/>
        </w:rPr>
        <w:t>的一切事宜，包括但不限于：报价、比价、签约等。报价人代表</w:t>
      </w:r>
      <w:r>
        <w:rPr>
          <w:rFonts w:hint="eastAsia" w:ascii="仿宋_GB2312" w:hAnsi="宋体" w:eastAsia="仿宋_GB2312"/>
          <w:sz w:val="24"/>
        </w:rPr>
        <w:t>在</w:t>
      </w:r>
      <w:r>
        <w:rPr>
          <w:rFonts w:hint="eastAsia" w:ascii="仿宋_GB2312" w:eastAsia="仿宋_GB2312"/>
          <w:sz w:val="24"/>
        </w:rPr>
        <w:t>报价</w:t>
      </w:r>
      <w:r>
        <w:rPr>
          <w:rFonts w:hint="eastAsia" w:ascii="仿宋_GB2312" w:hAnsi="宋体" w:eastAsia="仿宋_GB2312"/>
          <w:sz w:val="24"/>
        </w:rPr>
        <w:t>过程中所签署的一切文件和处理与之有关的一切事务，本公司均予以认可并对此承担责任。</w:t>
      </w:r>
      <w:r>
        <w:rPr>
          <w:rFonts w:hint="eastAsia" w:ascii="仿宋_GB2312" w:eastAsia="仿宋_GB2312"/>
          <w:sz w:val="24"/>
        </w:rPr>
        <w:t>报价人代表</w:t>
      </w:r>
      <w:r>
        <w:rPr>
          <w:rFonts w:hint="eastAsia" w:ascii="仿宋_GB2312" w:hAnsi="宋体" w:eastAsia="仿宋_GB2312"/>
          <w:sz w:val="24"/>
        </w:rPr>
        <w:t>无转委权。特此</w:t>
      </w:r>
      <w:r>
        <w:rPr>
          <w:rFonts w:hint="eastAsia" w:ascii="仿宋_GB2312" w:eastAsia="仿宋_GB2312"/>
          <w:sz w:val="24"/>
        </w:rPr>
        <w:t>授权</w:t>
      </w:r>
      <w:r>
        <w:rPr>
          <w:rFonts w:hint="eastAsia" w:ascii="仿宋_GB2312" w:hAnsi="宋体" w:eastAsia="仿宋_GB2312"/>
          <w:sz w:val="24"/>
        </w:rPr>
        <w:t>。</w:t>
      </w:r>
    </w:p>
    <w:p>
      <w:pPr>
        <w:pStyle w:val="5"/>
        <w:keepNext w:val="0"/>
        <w:keepLines w:val="0"/>
        <w:pageBreakBefore w:val="0"/>
        <w:kinsoku/>
        <w:wordWrap/>
        <w:overflowPunct/>
        <w:topLinePunct w:val="0"/>
        <w:autoSpaceDE/>
        <w:autoSpaceDN/>
        <w:bidi w:val="0"/>
        <w:adjustRightInd/>
        <w:snapToGrid w:val="0"/>
        <w:spacing w:line="560" w:lineRule="exact"/>
        <w:ind w:left="0" w:leftChars="0" w:firstLine="480" w:firstLineChars="200"/>
        <w:jc w:val="left"/>
        <w:textAlignment w:val="auto"/>
        <w:rPr>
          <w:rFonts w:ascii="仿宋_GB2312" w:eastAsia="仿宋_GB2312"/>
          <w:sz w:val="24"/>
        </w:rPr>
      </w:pPr>
      <w:r>
        <w:rPr>
          <w:rFonts w:hint="eastAsia" w:ascii="仿宋_GB2312" w:hAnsi="宋体" w:eastAsia="仿宋_GB2312"/>
          <w:sz w:val="24"/>
        </w:rPr>
        <w:t>本授权书自出具之日起生效。</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报价人代表：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性别：</w:t>
      </w:r>
      <w:r>
        <w:rPr>
          <w:rFonts w:ascii="仿宋_GB2312" w:hAnsi="宋体" w:eastAsia="仿宋_GB2312"/>
          <w:sz w:val="24"/>
          <w:u w:val="single"/>
        </w:rPr>
        <w:t xml:space="preserve">       </w:t>
      </w:r>
      <w:r>
        <w:rPr>
          <w:rFonts w:hint="eastAsia" w:ascii="仿宋_GB2312" w:hAnsi="宋体" w:eastAsia="仿宋_GB2312"/>
          <w:sz w:val="24"/>
        </w:rPr>
        <w:t>身份证号：</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单位：</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部门：</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职务：</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详细通讯地址：</w:t>
      </w:r>
      <w:r>
        <w:rPr>
          <w:rFonts w:ascii="仿宋_GB2312" w:hAnsi="宋体" w:eastAsia="仿宋_GB2312"/>
          <w:sz w:val="24"/>
          <w:u w:val="single"/>
        </w:rPr>
        <w:t xml:space="preserve">          </w:t>
      </w:r>
      <w:r>
        <w:rPr>
          <w:rFonts w:ascii="仿宋_GB2312" w:hAnsi="宋体" w:eastAsia="仿宋_GB2312"/>
          <w:sz w:val="24"/>
        </w:rPr>
        <w:t xml:space="preserve"> </w:t>
      </w:r>
      <w:r>
        <w:rPr>
          <w:rFonts w:ascii="仿宋_GB2312" w:hAnsi="宋体" w:eastAsia="仿宋_GB2312"/>
          <w:bCs/>
          <w:sz w:val="24"/>
        </w:rPr>
        <w:t xml:space="preserve"> </w:t>
      </w:r>
      <w:r>
        <w:rPr>
          <w:rFonts w:hint="eastAsia" w:ascii="仿宋_GB2312" w:hAnsi="宋体" w:eastAsia="仿宋_GB2312"/>
          <w:sz w:val="24"/>
        </w:rPr>
        <w:t>邮政编码</w:t>
      </w:r>
      <w:r>
        <w:rPr>
          <w:rFonts w:ascii="仿宋_GB2312" w:hAnsi="宋体" w:eastAsia="仿宋_GB2312"/>
          <w:sz w:val="24"/>
        </w:rPr>
        <w:t>:</w:t>
      </w:r>
      <w:r>
        <w:rPr>
          <w:rFonts w:ascii="仿宋_GB2312" w:hAnsi="宋体" w:eastAsia="仿宋_GB2312"/>
          <w:sz w:val="24"/>
          <w:u w:val="single"/>
        </w:rPr>
        <w:t xml:space="preserve">           </w:t>
      </w:r>
      <w:r>
        <w:rPr>
          <w:rFonts w:ascii="仿宋_GB2312" w:hAnsi="宋体" w:eastAsia="仿宋_GB2312"/>
          <w:sz w:val="24"/>
        </w:rPr>
        <w:t xml:space="preserve"> </w:t>
      </w:r>
      <w:r>
        <w:rPr>
          <w:rFonts w:hint="eastAsia" w:ascii="仿宋_GB2312" w:hAnsi="宋体" w:eastAsia="仿宋_GB2312"/>
          <w:sz w:val="24"/>
        </w:rPr>
        <w:t>电话：</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hint="eastAsia" w:ascii="仿宋_GB2312" w:eastAsia="仿宋_GB2312"/>
          <w:sz w:val="24"/>
        </w:rPr>
        <w:t>报价人代表应为报价公司的正式工作人员，否则视为无效报价。</w:t>
      </w:r>
      <w:r>
        <w:rPr>
          <w:rFonts w:hint="eastAsia" w:ascii="仿宋_GB2312" w:hAnsi="宋体" w:eastAsia="仿宋_GB2312"/>
          <w:sz w:val="24"/>
        </w:rPr>
        <w:t>）</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723" w:firstLineChars="200"/>
        <w:textAlignment w:val="auto"/>
        <w:rPr>
          <w:rFonts w:ascii="仿宋_GB2312" w:hAnsi="宋体" w:eastAsia="仿宋_GB2312"/>
          <w:b/>
          <w:sz w:val="36"/>
          <w:szCs w:val="36"/>
        </w:rPr>
      </w:pPr>
      <w:r>
        <w:rPr>
          <w:rFonts w:ascii="仿宋_GB2312" w:hAnsi="宋体" w:eastAsia="仿宋_GB2312"/>
          <w:b/>
          <w:sz w:val="36"/>
          <w:szCs w:val="36"/>
        </w:rPr>
        <w:t>[</w:t>
      </w:r>
      <w:r>
        <w:rPr>
          <w:rFonts w:hint="eastAsia" w:ascii="仿宋_GB2312" w:hAnsi="宋体" w:eastAsia="仿宋_GB2312"/>
          <w:b/>
          <w:sz w:val="36"/>
          <w:szCs w:val="36"/>
        </w:rPr>
        <w:t>身份证件复印件</w:t>
      </w:r>
      <w:r>
        <w:rPr>
          <w:rFonts w:ascii="仿宋_GB2312" w:hAnsi="宋体" w:eastAsia="仿宋_GB2312"/>
          <w:b/>
          <w:sz w:val="36"/>
          <w:szCs w:val="36"/>
        </w:rPr>
        <w:t>]</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法定代表人、报价人代表身份证件复印件正反面：</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授权方</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eastAsia="仿宋_GB2312"/>
          <w:sz w:val="24"/>
        </w:rPr>
        <w:t>报价人（全称并加盖公章）</w:t>
      </w:r>
      <w:r>
        <w:rPr>
          <w:rFonts w:hint="eastAsia" w:ascii="仿宋_GB2312" w:hAnsi="宋体" w:eastAsia="仿宋_GB2312"/>
          <w:sz w:val="24"/>
        </w:rPr>
        <w:t>：</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法定代表人签章：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接受授权方</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报价人代表签章：</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u w:val="single"/>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r>
        <w:rPr>
          <w:rFonts w:ascii="仿宋_GB2312" w:hAnsi="宋体"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hAnsi="宋体"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bookmarkEnd w:id="0"/>
      <w:bookmarkEnd w:id="1"/>
      <w:bookmarkEnd w:id="2"/>
      <w:bookmarkEnd w:id="3"/>
      <w:bookmarkEnd w:id="4"/>
      <w:bookmarkEnd w:id="5"/>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hAnsi="宋体" w:eastAsia="仿宋_GB2312"/>
          <w:sz w:val="24"/>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szCs w:val="28"/>
        </w:rPr>
      </w:pPr>
      <w:r>
        <w:rPr>
          <w:rFonts w:ascii="仿宋_GB2312" w:hAnsi="宋体" w:eastAsia="仿宋_GB2312"/>
          <w:sz w:val="24"/>
        </w:rPr>
        <w:br w:type="page"/>
      </w:r>
      <w:r>
        <w:rPr>
          <w:rFonts w:ascii="仿宋_GB2312" w:eastAsia="仿宋_GB2312"/>
          <w:b/>
          <w:szCs w:val="28"/>
        </w:rPr>
        <w:t>3</w:t>
      </w:r>
      <w:r>
        <w:rPr>
          <w:rFonts w:hint="eastAsia" w:ascii="仿宋_GB2312" w:eastAsia="仿宋_GB2312"/>
          <w:b/>
          <w:szCs w:val="28"/>
          <w:lang w:eastAsia="zh-CN"/>
        </w:rPr>
        <w:t>、</w:t>
      </w:r>
      <w:r>
        <w:rPr>
          <w:rFonts w:hint="eastAsia" w:ascii="仿宋_GB2312" w:eastAsia="仿宋_GB2312"/>
          <w:b/>
          <w:szCs w:val="28"/>
        </w:rPr>
        <w:t>营业执照</w:t>
      </w:r>
      <w:r>
        <w:rPr>
          <w:rFonts w:hint="eastAsia" w:ascii="仿宋_GB2312" w:hAnsi="宋体" w:eastAsia="仿宋_GB2312"/>
          <w:szCs w:val="28"/>
        </w:rPr>
        <w:t>等证明文件</w:t>
      </w:r>
    </w:p>
    <w:p>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ascii="仿宋_GB2312" w:eastAsia="仿宋_GB2312"/>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r>
        <w:rPr>
          <w:rFonts w:hint="eastAsia" w:ascii="仿宋_GB2312" w:eastAsia="仿宋_GB2312"/>
          <w:sz w:val="24"/>
        </w:rPr>
        <w:t>：</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现附上由</w:t>
      </w:r>
      <w:r>
        <w:rPr>
          <w:rFonts w:ascii="仿宋_GB2312" w:eastAsia="仿宋_GB2312"/>
          <w:sz w:val="24"/>
          <w:u w:val="single"/>
        </w:rPr>
        <w:t xml:space="preserve">                         </w:t>
      </w:r>
      <w:r>
        <w:rPr>
          <w:rFonts w:hint="eastAsia" w:ascii="仿宋_GB2312" w:eastAsia="仿宋_GB2312"/>
          <w:sz w:val="24"/>
        </w:rPr>
        <w:t>（签发机关名称）签发的我方法人具有统一社会信用代码的营业执照副本复印件，该执照业合格真实有效。</w:t>
      </w:r>
    </w:p>
    <w:p>
      <w:pPr>
        <w:keepNext w:val="0"/>
        <w:keepLines w:val="0"/>
        <w:pageBreakBefore w:val="0"/>
        <w:kinsoku/>
        <w:wordWrap/>
        <w:overflowPunct/>
        <w:topLinePunct w:val="0"/>
        <w:autoSpaceDE/>
        <w:autoSpaceDN/>
        <w:bidi w:val="0"/>
        <w:adjustRightInd/>
        <w:spacing w:line="560" w:lineRule="exact"/>
        <w:ind w:left="0" w:leftChars="0" w:firstLine="420" w:firstLineChars="200"/>
        <w:textAlignment w:val="auto"/>
        <w:rPr>
          <w:rFonts w:ascii="仿宋_GB2312" w:eastAsia="仿宋_GB2312"/>
        </w:rPr>
      </w:pPr>
      <w:r>
        <w:rPr>
          <w:rFonts w:hint="eastAsia" w:ascii="仿宋_GB2312" w:eastAsia="仿宋_GB2312"/>
        </w:rPr>
        <w:t>（注：需复印包括能说明合格有效的内容，由企业加盖公章并注明复印件与原件一致。）</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ascii="仿宋_GB2312" w:eastAsia="仿宋_GB2312"/>
          <w:sz w:val="24"/>
        </w:rPr>
        <w:t xml:space="preserve">                         </w:t>
      </w:r>
      <w:r>
        <w:rPr>
          <w:rFonts w:hint="eastAsia" w:ascii="仿宋_GB2312" w:eastAsia="仿宋_GB2312"/>
          <w:sz w:val="24"/>
        </w:rPr>
        <w:t>报价人代表签章：</w:t>
      </w:r>
      <w:r>
        <w:rPr>
          <w:rFonts w:ascii="仿宋_GB2312"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keepNext w:val="0"/>
        <w:keepLines w:val="0"/>
        <w:pageBreakBefore w:val="0"/>
        <w:kinsoku/>
        <w:wordWrap/>
        <w:overflowPunct/>
        <w:topLinePunct w:val="0"/>
        <w:autoSpaceDE/>
        <w:autoSpaceDN/>
        <w:bidi w:val="0"/>
        <w:adjustRightInd/>
        <w:spacing w:line="560" w:lineRule="exact"/>
        <w:ind w:left="0" w:leftChars="0"/>
        <w:textAlignment w:val="auto"/>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仿宋" w:hAnsi="仿宋" w:eastAsia="仿宋" w:cs="宋体fal"/>
          <w:color w:val="000000"/>
          <w:kern w:val="0"/>
          <w:sz w:val="32"/>
          <w:szCs w:val="32"/>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仿宋" w:hAnsi="仿宋" w:eastAsia="仿宋" w:cs="宋体fal"/>
          <w:color w:val="000000"/>
          <w:kern w:val="0"/>
          <w:sz w:val="32"/>
          <w:szCs w:val="32"/>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仿宋" w:hAnsi="仿宋" w:eastAsia="仿宋" w:cs="宋体fal"/>
          <w:color w:val="000000"/>
          <w:kern w:val="0"/>
          <w:sz w:val="32"/>
          <w:szCs w:val="32"/>
        </w:rPr>
      </w:pP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r>
        <w:rPr>
          <w:rFonts w:ascii="仿宋" w:hAnsi="仿宋" w:eastAsia="仿宋" w:cs="宋体fal"/>
          <w:color w:val="000000"/>
          <w:kern w:val="0"/>
          <w:sz w:val="32"/>
          <w:szCs w:val="32"/>
        </w:rPr>
        <w:br w:type="page"/>
      </w:r>
      <w:r>
        <w:rPr>
          <w:rFonts w:ascii="仿宋_GB2312" w:hAnsi="宋体" w:eastAsia="仿宋_GB2312"/>
          <w:b/>
          <w:szCs w:val="28"/>
        </w:rPr>
        <w:t>4</w:t>
      </w:r>
      <w:r>
        <w:rPr>
          <w:rFonts w:hint="eastAsia" w:ascii="仿宋_GB2312" w:hAnsi="宋体" w:eastAsia="仿宋_GB2312"/>
          <w:b/>
          <w:szCs w:val="28"/>
        </w:rPr>
        <w:t>、</w:t>
      </w:r>
      <w:r>
        <w:rPr>
          <w:rFonts w:hint="eastAsia" w:ascii="仿宋_GB2312" w:eastAsia="仿宋_GB2312"/>
          <w:b/>
          <w:szCs w:val="28"/>
        </w:rPr>
        <w:t>报价人的资格声明</w:t>
      </w: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2"/>
        <w:rPr>
          <w:rFonts w:ascii="仿宋_GB2312" w:eastAsia="仿宋_GB2312"/>
          <w:b/>
          <w:szCs w:val="28"/>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eastAsia="仿宋_GB2312"/>
          <w:sz w:val="24"/>
          <w:u w:val="single"/>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r>
        <w:rPr>
          <w:rFonts w:hint="eastAsia" w:ascii="仿宋_GB2312" w:eastAsia="仿宋_GB2312"/>
          <w:sz w:val="24"/>
          <w:u w:val="single"/>
        </w:rPr>
        <w:t>：</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我方在此声明：我方具备并满足下列各项条款的规定，本声明如有虚假或不实之处，我方将失去合格报价人资格且我方承担由此引起的一切法律责任。</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）具有独立承担民事责任的能力；</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）具有良好的商业信誉和健全的财务会计制度；</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）具有履行合同所必需的设备和专业技术能力；</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）有依法缴纳税收和社会保障资金的良好记录；</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）参加政府采购活动前三年内，在经营活动中没有重大违法记录；</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）报价人代表为我公司的正式工作人员；</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）参加政府采购活动近三年无行贿犯罪记录；</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8</w:t>
      </w:r>
      <w:r>
        <w:rPr>
          <w:rFonts w:hint="eastAsia" w:ascii="仿宋_GB2312" w:eastAsia="仿宋_GB2312"/>
          <w:sz w:val="24"/>
        </w:rPr>
        <w:t>）信用记录无任何应被拒绝参与政府采购活动的相关信息</w:t>
      </w:r>
      <w:r>
        <w:rPr>
          <w:rFonts w:ascii="仿宋_GB2312" w:eastAsia="仿宋_GB2312"/>
          <w:sz w:val="24"/>
        </w:rPr>
        <w:t xml:space="preserve"> (</w:t>
      </w:r>
      <w:r>
        <w:rPr>
          <w:rFonts w:hint="eastAsia" w:ascii="仿宋_GB2312" w:eastAsia="仿宋_GB2312"/>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sz w:val="24"/>
        </w:rPr>
        <w:t>)</w:t>
      </w:r>
      <w:r>
        <w:rPr>
          <w:rFonts w:hint="eastAsia" w:ascii="仿宋_GB2312" w:eastAsia="仿宋_GB2312"/>
          <w:sz w:val="24"/>
        </w:rPr>
        <w:t>；</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w:t>
      </w:r>
      <w:r>
        <w:rPr>
          <w:rFonts w:ascii="仿宋_GB2312" w:eastAsia="仿宋_GB2312"/>
          <w:sz w:val="24"/>
        </w:rPr>
        <w:t>9</w:t>
      </w:r>
      <w:r>
        <w:rPr>
          <w:rFonts w:hint="eastAsia" w:ascii="仿宋_GB2312" w:eastAsia="仿宋_GB2312"/>
          <w:sz w:val="24"/>
        </w:rPr>
        <w:t>）法律、行政法规规定的其他条件。</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就我方全部所知，兹证明上述声明是真实、准确的，并已提供了全部现有资料和数据，我方同意根据贵方要求出示文件予以证实。</w:t>
      </w:r>
    </w:p>
    <w:p>
      <w:pPr>
        <w:keepNext w:val="0"/>
        <w:keepLines w:val="0"/>
        <w:pageBreakBefore w:val="0"/>
        <w:kinsoku/>
        <w:wordWrap/>
        <w:overflowPunct/>
        <w:topLinePunct w:val="0"/>
        <w:autoSpaceDE/>
        <w:autoSpaceDN/>
        <w:bidi w:val="0"/>
        <w:adjustRightInd/>
        <w:spacing w:line="560" w:lineRule="exact"/>
        <w:ind w:left="0" w:leftChars="0" w:firstLine="480" w:firstLineChars="200"/>
        <w:jc w:val="right"/>
        <w:textAlignment w:val="auto"/>
        <w:rPr>
          <w:rFonts w:ascii="仿宋_GB2312"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报价人（全称并加盖公章）：</w:t>
      </w:r>
      <w:r>
        <w:rPr>
          <w:rFonts w:ascii="仿宋_GB2312" w:eastAsia="仿宋_GB2312"/>
          <w:sz w:val="24"/>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报价人代表签章：</w:t>
      </w:r>
      <w:r>
        <w:rPr>
          <w:rFonts w:ascii="仿宋_GB2312" w:eastAsia="仿宋_GB2312"/>
          <w:sz w:val="24"/>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rPr>
        <w:t xml:space="preserve">            </w:t>
      </w:r>
    </w:p>
    <w:p>
      <w:pPr>
        <w:pStyle w:val="8"/>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微软雅黑" w:hAnsi="微软雅黑" w:eastAsia="微软雅黑"/>
          <w:color w:val="000000"/>
          <w:sz w:val="27"/>
          <w:szCs w:val="27"/>
        </w:rPr>
      </w:pPr>
      <w:r>
        <w:rPr>
          <w:rFonts w:hint="eastAsia" w:ascii="仿宋_GB2312" w:hAnsi="宋体" w:eastAsia="仿宋_GB2312" w:cs="Times New Roman"/>
          <w:b/>
          <w:kern w:val="2"/>
          <w:sz w:val="28"/>
          <w:szCs w:val="28"/>
          <w:lang w:val="en-US" w:eastAsia="zh-CN" w:bidi="ar-SA"/>
        </w:rPr>
        <w:t>5、</w:t>
      </w:r>
      <w:r>
        <w:rPr>
          <w:rFonts w:ascii="仿宋_GB2312" w:hAnsi="宋体" w:eastAsia="仿宋_GB2312" w:cs="Times New Roman"/>
          <w:b/>
          <w:kern w:val="2"/>
          <w:sz w:val="28"/>
          <w:szCs w:val="28"/>
          <w:lang w:val="en-US" w:eastAsia="zh-CN" w:bidi="ar-SA"/>
        </w:rPr>
        <w:t>具备履行合同所必需设备和专业技术能力的声明函</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致：</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我方具备履行合同所必需的设备和专业技术能力，否则产生不利后果由我方承担责任。</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特此声明。</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注意：</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报价</w:t>
      </w:r>
      <w:r>
        <w:rPr>
          <w:rFonts w:ascii="仿宋_GB2312" w:hAnsi="宋体" w:eastAsia="仿宋_GB2312"/>
          <w:sz w:val="24"/>
        </w:rPr>
        <w:t>文件未要求报价人提供“具备履行合同所必需的设备和专业技术能力专项证明材料”的，报价人应提供本声明函。</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2、报价文件要求报价人提供“具备履行合同所必需的设备和专业技术能力专项证明材料”的，报价人可不提供本声明函。</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3、纸质</w:t>
      </w:r>
      <w:r>
        <w:rPr>
          <w:rFonts w:hint="eastAsia" w:ascii="仿宋_GB2312" w:hAnsi="宋体" w:eastAsia="仿宋_GB2312"/>
          <w:sz w:val="24"/>
        </w:rPr>
        <w:t>报价</w:t>
      </w:r>
      <w:r>
        <w:rPr>
          <w:rFonts w:ascii="仿宋_GB2312" w:hAnsi="宋体" w:eastAsia="仿宋_GB2312"/>
          <w:sz w:val="24"/>
        </w:rPr>
        <w:t>文件正本中的本声明函（若有）应为原件。</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4、请报价人根据实际情况如实声明，否则</w:t>
      </w:r>
      <w:r>
        <w:rPr>
          <w:rFonts w:ascii="仿宋_GB2312" w:hAnsi="宋体" w:eastAsia="仿宋_GB2312"/>
          <w:b/>
          <w:bCs/>
          <w:sz w:val="24"/>
        </w:rPr>
        <w:t>视为提供虚假材料。</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报价人：（全称并加盖单位公章）</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报价人代表签字：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r>
        <w:rPr>
          <w:rFonts w:ascii="仿宋_GB2312" w:hAnsi="宋体" w:eastAsia="仿宋_GB2312"/>
          <w:sz w:val="24"/>
        </w:rPr>
        <w:t>日期：    年   月   日</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4"/>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both"/>
        <w:textAlignment w:val="auto"/>
        <w:rPr>
          <w:rFonts w:hint="eastAsia" w:ascii="仿宋_GB2312" w:hAnsi="宋体" w:eastAsia="仿宋_GB2312"/>
          <w:b/>
          <w:sz w:val="28"/>
          <w:szCs w:val="28"/>
          <w:lang w:val="en-US" w:eastAsia="zh-CN"/>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黑体" w:hAnsi="黑体" w:eastAsia="黑体"/>
          <w:bCs/>
          <w:sz w:val="44"/>
          <w:szCs w:val="44"/>
        </w:rPr>
      </w:pPr>
      <w:r>
        <w:rPr>
          <w:rFonts w:hint="eastAsia" w:ascii="仿宋_GB2312" w:hAnsi="宋体" w:eastAsia="仿宋_GB2312"/>
          <w:b/>
          <w:sz w:val="28"/>
          <w:szCs w:val="28"/>
          <w:lang w:val="en-US" w:eastAsia="zh-CN"/>
        </w:rPr>
        <w:t>6</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黑体" w:hAnsi="黑体" w:eastAsia="黑体"/>
          <w:bCs/>
          <w:sz w:val="44"/>
          <w:szCs w:val="44"/>
        </w:rPr>
      </w:pP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4"/>
        <w:keepNext w:val="0"/>
        <w:keepLines w:val="0"/>
        <w:pageBreakBefore w:val="0"/>
        <w:tabs>
          <w:tab w:val="left" w:pos="4477"/>
        </w:tabs>
        <w:kinsoku/>
        <w:wordWrap/>
        <w:overflowPunct/>
        <w:topLinePunct w:val="0"/>
        <w:autoSpaceDE/>
        <w:autoSpaceDN/>
        <w:bidi w:val="0"/>
        <w:adjustRightInd/>
        <w:spacing w:line="560" w:lineRule="exact"/>
        <w:ind w:left="0" w:leftChars="0" w:right="508" w:rightChars="242"/>
        <w:textAlignment w:val="auto"/>
        <w:rPr>
          <w:rFonts w:ascii="微软雅黑" w:hAnsi="微软雅黑" w:eastAsia="微软雅黑"/>
          <w:szCs w:val="24"/>
        </w:rPr>
      </w:pPr>
    </w:p>
    <w:p>
      <w:pPr>
        <w:keepNext w:val="0"/>
        <w:keepLines w:val="0"/>
        <w:pageBreakBefore w:val="0"/>
        <w:widowControl/>
        <w:kinsoku/>
        <w:wordWrap/>
        <w:overflowPunct/>
        <w:topLinePunct w:val="0"/>
        <w:autoSpaceDE/>
        <w:autoSpaceDN/>
        <w:bidi w:val="0"/>
        <w:adjustRightInd/>
        <w:spacing w:line="560" w:lineRule="exact"/>
        <w:ind w:left="0" w:leftChars="0" w:right="508" w:rightChars="242"/>
        <w:textAlignment w:val="auto"/>
        <w:rPr>
          <w:rFonts w:hint="eastAsia" w:ascii="宋体" w:hAnsi="宋体" w:eastAsia="宋体"/>
          <w:sz w:val="21"/>
          <w:szCs w:val="21"/>
        </w:rPr>
      </w:pPr>
      <w:r>
        <w:rPr>
          <w:rFonts w:hint="eastAsia" w:ascii="宋体" w:hAnsi="宋体" w:eastAsia="宋体"/>
          <w:sz w:val="21"/>
          <w:szCs w:val="21"/>
        </w:rPr>
        <w:t>项目名称：福州市“马上就办、真抓实干”精神展示馆分区讲解设备采购项目</w:t>
      </w:r>
    </w:p>
    <w:p>
      <w:pPr>
        <w:keepNext w:val="0"/>
        <w:keepLines w:val="0"/>
        <w:pageBreakBefore w:val="0"/>
        <w:widowControl/>
        <w:kinsoku/>
        <w:wordWrap/>
        <w:overflowPunct/>
        <w:topLinePunct w:val="0"/>
        <w:autoSpaceDE/>
        <w:autoSpaceDN/>
        <w:bidi w:val="0"/>
        <w:adjustRightInd/>
        <w:spacing w:line="560" w:lineRule="exact"/>
        <w:ind w:left="0" w:leftChars="0" w:right="508" w:rightChars="242"/>
        <w:textAlignment w:val="auto"/>
        <w:rPr>
          <w:rFonts w:ascii="宋体" w:hAnsi="宋体" w:eastAsia="宋体"/>
          <w:sz w:val="21"/>
          <w:szCs w:val="21"/>
        </w:rPr>
      </w:pPr>
      <w:r>
        <w:rPr>
          <w:rFonts w:hint="eastAsia" w:ascii="宋体" w:hAnsi="宋体" w:eastAsia="宋体"/>
          <w:sz w:val="21"/>
          <w:szCs w:val="21"/>
        </w:rPr>
        <w:t>金额单位：元</w:t>
      </w:r>
      <w:r>
        <w:rPr>
          <w:rFonts w:ascii="宋体" w:hAnsi="宋体" w:eastAsia="宋体"/>
          <w:sz w:val="21"/>
          <w:szCs w:val="21"/>
        </w:rPr>
        <w:t xml:space="preserve"> </w:t>
      </w:r>
    </w:p>
    <w:tbl>
      <w:tblPr>
        <w:tblStyle w:val="11"/>
        <w:tblW w:w="860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077"/>
        <w:gridCol w:w="2067"/>
        <w:gridCol w:w="893"/>
        <w:gridCol w:w="854"/>
        <w:gridCol w:w="1648"/>
        <w:gridCol w:w="207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bCs w:val="0"/>
              </w:rPr>
            </w:pPr>
            <w:r>
              <w:rPr>
                <w:rFonts w:hint="eastAsia" w:ascii="宋体" w:hAnsi="宋体" w:eastAsia="宋体" w:cs="宋体"/>
                <w:b/>
                <w:bCs w:val="0"/>
                <w:sz w:val="21"/>
              </w:rPr>
              <w:t>投标标的</w:t>
            </w: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bCs w:val="0"/>
              </w:rPr>
            </w:pPr>
            <w:r>
              <w:rPr>
                <w:rFonts w:hint="eastAsia" w:ascii="宋体" w:hAnsi="宋体" w:eastAsia="宋体" w:cs="宋体"/>
                <w:b/>
                <w:bCs w:val="0"/>
                <w:sz w:val="21"/>
              </w:rPr>
              <w:t>品种</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bCs w:val="0"/>
              </w:rPr>
            </w:pPr>
            <w:r>
              <w:rPr>
                <w:rFonts w:hint="eastAsia" w:ascii="宋体" w:hAnsi="宋体" w:eastAsia="宋体" w:cs="宋体"/>
                <w:b/>
                <w:bCs w:val="0"/>
                <w:sz w:val="21"/>
              </w:rPr>
              <w:t>单位</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bCs w:val="0"/>
              </w:rPr>
            </w:pPr>
            <w:r>
              <w:rPr>
                <w:rFonts w:hint="eastAsia" w:ascii="宋体" w:hAnsi="宋体" w:eastAsia="宋体" w:cs="宋体"/>
                <w:b/>
                <w:bCs w:val="0"/>
                <w:sz w:val="21"/>
              </w:rPr>
              <w:t>数量</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bCs w:val="0"/>
              </w:rPr>
            </w:pPr>
            <w:r>
              <w:rPr>
                <w:rFonts w:hint="eastAsia" w:ascii="宋体" w:hAnsi="宋体" w:eastAsia="宋体" w:cs="宋体"/>
                <w:b/>
                <w:bCs w:val="0"/>
                <w:sz w:val="21"/>
              </w:rPr>
              <w:t>投标单价（元）</w:t>
            </w: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bCs w:val="0"/>
              </w:rPr>
            </w:pPr>
            <w:r>
              <w:rPr>
                <w:rFonts w:hint="eastAsia" w:ascii="宋体" w:hAnsi="宋体" w:eastAsia="宋体" w:cs="宋体"/>
                <w:b/>
                <w:bCs w:val="0"/>
                <w:sz w:val="21"/>
              </w:rPr>
              <w:t>合计（元）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讲解接收机</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cs="宋体"/>
                <w:b w:val="0"/>
                <w:bCs/>
                <w:sz w:val="21"/>
                <w:lang w:eastAsia="zh-CN"/>
              </w:rPr>
            </w:pPr>
            <w:r>
              <w:rPr>
                <w:rFonts w:hint="eastAsia" w:ascii="宋体" w:hAnsi="宋体" w:cs="宋体"/>
                <w:b w:val="0"/>
                <w:bCs/>
                <w:sz w:val="21"/>
                <w:lang w:eastAsia="zh-CN"/>
              </w:rPr>
              <w:t>个</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11</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vMerge w:val="restart"/>
            <w:tcBorders>
              <w:left w:val="single" w:color="000000" w:sz="4" w:space="0"/>
              <w:right w:val="single" w:color="000000" w:sz="4" w:space="0"/>
            </w:tcBorders>
            <w:vAlign w:val="center"/>
          </w:tcPr>
          <w:p>
            <w:pPr>
              <w:jc w:val="center"/>
              <w:rPr>
                <w:rFonts w:hint="eastAsia" w:ascii="宋体" w:hAnsi="宋体" w:eastAsia="宋体" w:cs="宋体"/>
                <w:b w:val="0"/>
                <w:bCs/>
              </w:rPr>
            </w:pPr>
            <w:r>
              <w:rPr>
                <w:rFonts w:hint="eastAsia" w:ascii="宋体" w:hAnsi="宋体" w:eastAsia="宋体" w:cs="宋体"/>
                <w:b w:val="0"/>
                <w:bCs/>
              </w:rPr>
              <w:t>福州市“马上就办、真抓实干”</w:t>
            </w:r>
          </w:p>
          <w:p>
            <w:pPr>
              <w:jc w:val="center"/>
              <w:rPr>
                <w:rFonts w:hint="eastAsia" w:ascii="宋体" w:hAnsi="宋体" w:eastAsia="宋体" w:cs="宋体"/>
                <w:b w:val="0"/>
                <w:bCs/>
              </w:rPr>
            </w:pPr>
            <w:r>
              <w:rPr>
                <w:rFonts w:hint="eastAsia" w:ascii="宋体" w:hAnsi="宋体" w:eastAsia="宋体" w:cs="宋体"/>
                <w:b w:val="0"/>
                <w:bCs/>
              </w:rPr>
              <w:t>精神展示馆分区讲解设备采购项目</w:t>
            </w: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rPr>
            </w:pPr>
            <w:r>
              <w:rPr>
                <w:rFonts w:hint="eastAsia" w:ascii="宋体" w:hAnsi="宋体"/>
                <w:color w:val="000000"/>
                <w:sz w:val="22"/>
                <w:szCs w:val="24"/>
              </w:rPr>
              <w:t>播放器</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eastAsia="zh-CN"/>
              </w:rPr>
            </w:pPr>
            <w:r>
              <w:rPr>
                <w:rFonts w:hint="eastAsia" w:ascii="宋体" w:hAnsi="宋体" w:cs="宋体"/>
                <w:b w:val="0"/>
                <w:bCs/>
                <w:sz w:val="21"/>
                <w:lang w:eastAsia="zh-CN"/>
              </w:rPr>
              <w:t>个</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19</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rPr>
            </w:pPr>
            <w:r>
              <w:rPr>
                <w:rFonts w:hint="eastAsia" w:ascii="宋体" w:hAnsi="宋体"/>
                <w:color w:val="000000"/>
                <w:sz w:val="22"/>
                <w:szCs w:val="24"/>
              </w:rPr>
              <w:t>通道自动适配器</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eastAsia="zh-CN"/>
              </w:rPr>
            </w:pPr>
            <w:r>
              <w:rPr>
                <w:rFonts w:hint="eastAsia" w:ascii="宋体" w:hAnsi="宋体" w:cs="宋体"/>
                <w:b w:val="0"/>
                <w:bCs/>
                <w:lang w:eastAsia="zh-CN"/>
              </w:rPr>
              <w:t>个</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11</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sz w:val="21"/>
              </w:rPr>
            </w:pPr>
            <w:r>
              <w:rPr>
                <w:rFonts w:hint="eastAsia" w:ascii="宋体" w:hAnsi="宋体"/>
                <w:color w:val="000000"/>
                <w:sz w:val="22"/>
                <w:szCs w:val="24"/>
              </w:rPr>
              <w:t>讲解发射机</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sz w:val="21"/>
                <w:lang w:eastAsia="zh-CN"/>
              </w:rPr>
            </w:pPr>
            <w:r>
              <w:rPr>
                <w:rFonts w:hint="eastAsia" w:ascii="宋体" w:hAnsi="宋体" w:cs="宋体"/>
                <w:b w:val="0"/>
                <w:bCs/>
                <w:sz w:val="21"/>
                <w:lang w:eastAsia="zh-CN"/>
              </w:rPr>
              <w:t>个</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2</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107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sz w:val="21"/>
              </w:rPr>
            </w:pPr>
            <w:r>
              <w:rPr>
                <w:rFonts w:hint="eastAsia" w:ascii="宋体" w:hAnsi="宋体"/>
                <w:color w:val="000000"/>
                <w:sz w:val="22"/>
                <w:szCs w:val="24"/>
              </w:rPr>
              <w:t>讲解话筒</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sz w:val="21"/>
                <w:lang w:eastAsia="zh-CN"/>
              </w:rPr>
            </w:pPr>
            <w:r>
              <w:rPr>
                <w:rFonts w:hint="eastAsia" w:ascii="宋体" w:hAnsi="宋体" w:cs="宋体"/>
                <w:b w:val="0"/>
                <w:bCs/>
                <w:sz w:val="21"/>
                <w:lang w:eastAsia="zh-CN"/>
              </w:rPr>
              <w:t>个</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2</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4" w:hRule="exact"/>
        </w:trPr>
        <w:tc>
          <w:tcPr>
            <w:tcW w:w="107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sz w:val="21"/>
                <w:lang w:eastAsia="zh-CN"/>
              </w:rPr>
            </w:pPr>
            <w:r>
              <w:rPr>
                <w:rFonts w:hint="eastAsia" w:ascii="宋体" w:hAnsi="宋体"/>
                <w:color w:val="000000"/>
                <w:sz w:val="22"/>
                <w:szCs w:val="24"/>
                <w:lang w:eastAsia="zh-CN"/>
              </w:rPr>
              <w:t>图纸</w:t>
            </w:r>
            <w:r>
              <w:rPr>
                <w:rFonts w:hint="eastAsia" w:ascii="宋体" w:hAnsi="宋体"/>
                <w:color w:val="000000"/>
                <w:sz w:val="22"/>
                <w:szCs w:val="24"/>
              </w:rPr>
              <w:t>设计</w:t>
            </w:r>
            <w:r>
              <w:rPr>
                <w:rFonts w:hint="eastAsia" w:ascii="宋体" w:hAnsi="宋体"/>
                <w:color w:val="000000"/>
                <w:sz w:val="22"/>
                <w:szCs w:val="24"/>
                <w:lang w:eastAsia="zh-CN"/>
              </w:rPr>
              <w:t>、</w:t>
            </w:r>
            <w:r>
              <w:rPr>
                <w:rFonts w:hint="eastAsia" w:ascii="宋体" w:hAnsi="宋体"/>
                <w:color w:val="000000"/>
                <w:sz w:val="22"/>
                <w:szCs w:val="24"/>
              </w:rPr>
              <w:t>设备安装</w:t>
            </w:r>
            <w:r>
              <w:rPr>
                <w:rFonts w:hint="eastAsia" w:ascii="宋体" w:hAnsi="宋体"/>
                <w:color w:val="000000"/>
                <w:sz w:val="22"/>
                <w:szCs w:val="24"/>
                <w:lang w:eastAsia="zh-CN"/>
              </w:rPr>
              <w:t>、</w:t>
            </w:r>
            <w:r>
              <w:rPr>
                <w:rFonts w:hint="eastAsia" w:ascii="宋体" w:hAnsi="宋体"/>
                <w:color w:val="000000"/>
                <w:sz w:val="22"/>
                <w:szCs w:val="24"/>
              </w:rPr>
              <w:t>材料费</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sz w:val="21"/>
                <w:lang w:eastAsia="zh-CN"/>
              </w:rPr>
            </w:pPr>
            <w:r>
              <w:rPr>
                <w:rFonts w:hint="eastAsia" w:ascii="宋体" w:hAnsi="宋体" w:cs="宋体"/>
                <w:b w:val="0"/>
                <w:bCs/>
                <w:sz w:val="21"/>
                <w:lang w:eastAsia="zh-CN"/>
              </w:rPr>
              <w:t>项</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1</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7" w:hRule="exact"/>
        </w:trPr>
        <w:tc>
          <w:tcPr>
            <w:tcW w:w="1077" w:type="dxa"/>
            <w:vMerge w:val="continue"/>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20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spacing w:beforeLines="0" w:afterLines="0"/>
              <w:jc w:val="center"/>
              <w:rPr>
                <w:rFonts w:hint="eastAsia" w:ascii="宋体" w:hAnsi="宋体" w:eastAsia="宋体" w:cs="宋体"/>
                <w:b w:val="0"/>
                <w:bCs/>
                <w:sz w:val="21"/>
                <w:lang w:eastAsia="zh-CN"/>
              </w:rPr>
            </w:pPr>
            <w:r>
              <w:rPr>
                <w:rFonts w:hint="eastAsia" w:ascii="宋体" w:hAnsi="宋体"/>
                <w:color w:val="000000"/>
                <w:sz w:val="22"/>
                <w:szCs w:val="24"/>
              </w:rPr>
              <w:t>一次性设备调试费</w:t>
            </w:r>
          </w:p>
        </w:tc>
        <w:tc>
          <w:tcPr>
            <w:tcW w:w="8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sz w:val="21"/>
                <w:lang w:eastAsia="zh-CN"/>
              </w:rPr>
            </w:pPr>
            <w:r>
              <w:rPr>
                <w:rFonts w:hint="eastAsia" w:ascii="宋体" w:hAnsi="宋体" w:cs="宋体"/>
                <w:b w:val="0"/>
                <w:bCs/>
                <w:sz w:val="21"/>
                <w:lang w:eastAsia="zh-CN"/>
              </w:rPr>
              <w:t>项</w:t>
            </w:r>
          </w:p>
        </w:tc>
        <w:tc>
          <w:tcPr>
            <w:tcW w:w="8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jc w:val="center"/>
              <w:rPr>
                <w:rFonts w:hint="eastAsia" w:ascii="宋体" w:hAnsi="宋体" w:eastAsia="宋体" w:cs="宋体"/>
                <w:b w:val="0"/>
                <w:bCs/>
                <w:lang w:val="en-US" w:eastAsia="zh-CN"/>
              </w:rPr>
            </w:pPr>
            <w:r>
              <w:rPr>
                <w:rFonts w:hint="eastAsia" w:ascii="宋体" w:hAnsi="宋体" w:cs="宋体"/>
                <w:b w:val="0"/>
                <w:bCs/>
                <w:lang w:val="en-US" w:eastAsia="zh-CN"/>
              </w:rPr>
              <w:t>1</w:t>
            </w:r>
          </w:p>
        </w:tc>
        <w:tc>
          <w:tcPr>
            <w:tcW w:w="164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7" w:hRule="exact"/>
        </w:trPr>
        <w:tc>
          <w:tcPr>
            <w:tcW w:w="1077" w:type="dxa"/>
            <w:tcBorders>
              <w:left w:val="single" w:color="000000" w:sz="4" w:space="0"/>
              <w:right w:val="single" w:color="000000" w:sz="4" w:space="0"/>
            </w:tcBorders>
            <w:vAlign w:val="center"/>
          </w:tcPr>
          <w:p>
            <w:pPr>
              <w:jc w:val="center"/>
              <w:rPr>
                <w:rFonts w:hint="eastAsia" w:ascii="宋体" w:hAnsi="宋体" w:eastAsia="宋体" w:cs="宋体"/>
                <w:b w:val="0"/>
                <w:bCs/>
              </w:rPr>
            </w:pPr>
          </w:p>
        </w:tc>
        <w:tc>
          <w:tcPr>
            <w:tcW w:w="5462"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lang w:eastAsia="zh-CN"/>
              </w:rPr>
            </w:pPr>
            <w:r>
              <w:rPr>
                <w:rFonts w:hint="eastAsia" w:ascii="宋体" w:hAnsi="宋体" w:eastAsia="宋体" w:cs="宋体"/>
                <w:b/>
                <w:bCs w:val="0"/>
                <w:lang w:eastAsia="zh-CN"/>
              </w:rPr>
              <w:t>投标总价（元）</w:t>
            </w: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757" w:hRule="exact"/>
        </w:trPr>
        <w:tc>
          <w:tcPr>
            <w:tcW w:w="1077"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rPr>
            </w:pPr>
          </w:p>
        </w:tc>
        <w:tc>
          <w:tcPr>
            <w:tcW w:w="5462"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bCs w:val="0"/>
                <w:lang w:eastAsia="zh-CN"/>
              </w:rPr>
            </w:pPr>
            <w:r>
              <w:rPr>
                <w:rFonts w:hint="eastAsia" w:ascii="宋体" w:hAnsi="宋体" w:eastAsia="宋体" w:cs="宋体"/>
                <w:b/>
                <w:bCs w:val="0"/>
                <w:lang w:eastAsia="zh-CN"/>
              </w:rPr>
              <w:t>人民币大写（元）</w:t>
            </w:r>
          </w:p>
        </w:tc>
        <w:tc>
          <w:tcPr>
            <w:tcW w:w="20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17"/>
              <w:ind w:firstLine="380"/>
              <w:jc w:val="center"/>
              <w:rPr>
                <w:rFonts w:hint="eastAsia" w:ascii="宋体" w:hAnsi="宋体" w:eastAsia="宋体" w:cs="宋体"/>
                <w:b w:val="0"/>
                <w:bCs/>
              </w:rPr>
            </w:pPr>
          </w:p>
        </w:tc>
      </w:tr>
    </w:tbl>
    <w:p>
      <w:pPr>
        <w:keepNext w:val="0"/>
        <w:keepLines w:val="0"/>
        <w:pageBreakBefore w:val="0"/>
        <w:widowControl/>
        <w:kinsoku/>
        <w:wordWrap/>
        <w:overflowPunct/>
        <w:topLinePunct w:val="0"/>
        <w:autoSpaceDE/>
        <w:autoSpaceDN/>
        <w:bidi w:val="0"/>
        <w:adjustRightInd/>
        <w:spacing w:line="560" w:lineRule="exact"/>
        <w:ind w:left="0" w:leftChars="0" w:right="508" w:rightChars="242"/>
        <w:jc w:val="left"/>
        <w:textAlignment w:val="auto"/>
        <w:rPr>
          <w:rFonts w:ascii="微软雅黑" w:hAnsi="微软雅黑" w:eastAsia="微软雅黑"/>
          <w:sz w:val="21"/>
          <w:szCs w:val="21"/>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hint="eastAsia" w:ascii="宋体" w:hAnsi="宋体" w:eastAsia="宋体" w:cs="宋体fal"/>
          <w:kern w:val="0"/>
          <w:sz w:val="21"/>
          <w:szCs w:val="21"/>
        </w:rPr>
      </w:pPr>
      <w:r>
        <w:rPr>
          <w:rFonts w:hint="eastAsia" w:ascii="宋体" w:hAnsi="宋体" w:eastAsia="宋体" w:cs="宋体fal"/>
          <w:kern w:val="0"/>
          <w:sz w:val="21"/>
          <w:szCs w:val="21"/>
        </w:rPr>
        <w:t>供应商全称：（盖章）</w:t>
      </w:r>
    </w:p>
    <w:p>
      <w:pPr>
        <w:keepNext w:val="0"/>
        <w:keepLines w:val="0"/>
        <w:pageBreakBefore w:val="0"/>
        <w:kinsoku/>
        <w:wordWrap/>
        <w:overflowPunct/>
        <w:topLinePunct w:val="0"/>
        <w:autoSpaceDE/>
        <w:autoSpaceDN/>
        <w:bidi w:val="0"/>
        <w:adjustRightInd/>
        <w:spacing w:line="560" w:lineRule="exact"/>
        <w:ind w:left="0" w:leftChars="0"/>
        <w:textAlignment w:val="auto"/>
        <w:rPr>
          <w:rFonts w:cs="宋体fal"/>
          <w:kern w:val="0"/>
          <w:sz w:val="21"/>
          <w:szCs w:val="21"/>
        </w:rPr>
      </w:pPr>
      <w:r>
        <w:rPr>
          <w:rFonts w:hint="eastAsia" w:ascii="宋体" w:hAnsi="宋体" w:eastAsia="宋体" w:cs="宋体fal"/>
          <w:kern w:val="0"/>
          <w:sz w:val="21"/>
          <w:szCs w:val="21"/>
        </w:rPr>
        <w:t>授权代表：（签字）</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宋体" w:hAnsi="宋体" w:eastAsia="宋体" w:cs="宋体fal"/>
          <w:kern w:val="0"/>
          <w:szCs w:val="21"/>
        </w:rPr>
      </w:pPr>
      <w:r>
        <w:rPr>
          <w:rFonts w:hint="eastAsia" w:ascii="宋体" w:hAnsi="宋体" w:eastAsia="宋体" w:cs="宋体fal"/>
          <w:kern w:val="0"/>
          <w:sz w:val="21"/>
          <w:szCs w:val="21"/>
        </w:rPr>
        <w:t>日期：</w:t>
      </w:r>
      <w:r>
        <w:rPr>
          <w:rFonts w:ascii="宋体" w:hAnsi="宋体" w:eastAsia="宋体" w:cs="宋体fal"/>
          <w:kern w:val="0"/>
          <w:sz w:val="21"/>
          <w:szCs w:val="21"/>
        </w:rPr>
        <w:t xml:space="preserve">   </w:t>
      </w:r>
      <w:r>
        <w:rPr>
          <w:rFonts w:hint="eastAsia" w:ascii="宋体" w:hAnsi="宋体" w:eastAsia="宋体" w:cs="宋体fal"/>
          <w:kern w:val="0"/>
          <w:sz w:val="21"/>
          <w:szCs w:val="21"/>
        </w:rPr>
        <w:t>年</w:t>
      </w:r>
      <w:r>
        <w:rPr>
          <w:rFonts w:ascii="宋体" w:hAnsi="宋体" w:eastAsia="宋体" w:cs="宋体fal"/>
          <w:kern w:val="0"/>
          <w:sz w:val="21"/>
          <w:szCs w:val="21"/>
        </w:rPr>
        <w:t xml:space="preserve">   </w:t>
      </w:r>
      <w:r>
        <w:rPr>
          <w:rFonts w:hint="eastAsia" w:ascii="宋体" w:hAnsi="宋体" w:eastAsia="宋体" w:cs="宋体fal"/>
          <w:kern w:val="0"/>
          <w:sz w:val="21"/>
          <w:szCs w:val="21"/>
        </w:rPr>
        <w:t>月</w:t>
      </w:r>
      <w:r>
        <w:rPr>
          <w:rFonts w:ascii="宋体" w:hAnsi="宋体" w:eastAsia="宋体" w:cs="宋体fal"/>
          <w:kern w:val="0"/>
          <w:sz w:val="21"/>
          <w:szCs w:val="21"/>
        </w:rPr>
        <w:t xml:space="preserve">   </w:t>
      </w:r>
      <w:r>
        <w:rPr>
          <w:rFonts w:hint="eastAsia" w:ascii="宋体" w:hAnsi="宋体" w:eastAsia="宋体" w:cs="宋体fal"/>
          <w:kern w:val="0"/>
          <w:sz w:val="21"/>
          <w:szCs w:val="21"/>
        </w:rPr>
        <w:t>日</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宋体" w:hAnsi="宋体" w:eastAsia="宋体" w:cs="宋体fal"/>
          <w:kern w:val="0"/>
          <w:szCs w:val="21"/>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Ansi="宋体"/>
          <w:sz w:val="24"/>
          <w:szCs w:val="24"/>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ascii="仿宋_GB2312" w:hAnsi="宋体" w:eastAsia="仿宋_GB2312"/>
          <w:b/>
          <w:sz w:val="28"/>
          <w:szCs w:val="28"/>
        </w:rPr>
      </w:pPr>
      <w:r>
        <w:rPr>
          <w:rFonts w:hAnsi="宋体"/>
          <w:sz w:val="24"/>
          <w:szCs w:val="24"/>
        </w:rPr>
        <w:br w:type="page"/>
      </w:r>
      <w:r>
        <w:rPr>
          <w:rFonts w:hint="eastAsia" w:ascii="仿宋_GB2312" w:hAnsi="宋体" w:eastAsia="仿宋_GB2312"/>
          <w:b/>
          <w:sz w:val="28"/>
          <w:szCs w:val="28"/>
          <w:lang w:val="en-US" w:eastAsia="zh-CN"/>
        </w:rPr>
        <w:t>7</w:t>
      </w:r>
      <w:r>
        <w:rPr>
          <w:rFonts w:hint="eastAsia" w:ascii="仿宋_GB2312" w:hAnsi="宋体" w:eastAsia="仿宋_GB2312"/>
          <w:b/>
          <w:sz w:val="28"/>
          <w:szCs w:val="28"/>
        </w:rPr>
        <w:t>、其他采购文件要求的文件</w:t>
      </w:r>
    </w:p>
    <w:p>
      <w:pPr>
        <w:keepNext w:val="0"/>
        <w:keepLines w:val="0"/>
        <w:pageBreakBefore w:val="0"/>
        <w:kinsoku/>
        <w:wordWrap/>
        <w:overflowPunct/>
        <w:topLinePunct w:val="0"/>
        <w:autoSpaceDE/>
        <w:autoSpaceDN/>
        <w:bidi w:val="0"/>
        <w:adjustRightInd/>
        <w:spacing w:line="560" w:lineRule="exact"/>
        <w:ind w:left="0" w:leftChars="0" w:firstLine="560" w:firstLineChars="200"/>
        <w:jc w:val="center"/>
        <w:textAlignment w:val="auto"/>
        <w:rPr>
          <w:rFonts w:ascii="仿宋_GB2312" w:hAnsi="宋体" w:eastAsia="仿宋_GB2312"/>
          <w:sz w:val="28"/>
          <w:szCs w:val="28"/>
        </w:rPr>
      </w:pP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hAnsi="宋体" w:eastAsia="仿宋_GB2312"/>
          <w:sz w:val="24"/>
          <w:u w:val="single"/>
        </w:rPr>
        <w:t>福州市</w:t>
      </w:r>
      <w:r>
        <w:rPr>
          <w:rFonts w:hint="eastAsia" w:ascii="仿宋_GB2312" w:hAnsi="宋体" w:eastAsia="仿宋_GB2312"/>
          <w:sz w:val="24"/>
          <w:u w:val="single"/>
          <w:lang w:eastAsia="zh-CN"/>
        </w:rPr>
        <w:t>行政服务中心管理委员会</w:t>
      </w:r>
      <w:r>
        <w:rPr>
          <w:rFonts w:hint="eastAsia" w:ascii="仿宋_GB2312" w:eastAsia="仿宋_GB2312"/>
          <w:sz w:val="24"/>
        </w:rPr>
        <w:t>：</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仿宋_GB2312"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hint="eastAsia" w:ascii="仿宋_GB2312" w:eastAsia="仿宋_GB2312"/>
          <w:sz w:val="24"/>
        </w:rPr>
        <w:t>现附上</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Courier New" w:eastAsia="仿宋_GB2312"/>
          <w:sz w:val="24"/>
        </w:rPr>
      </w:pP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keepNext w:val="0"/>
        <w:keepLines w:val="0"/>
        <w:pageBreakBefore w:val="0"/>
        <w:kinsoku/>
        <w:wordWrap/>
        <w:overflowPunct/>
        <w:topLinePunct w:val="0"/>
        <w:autoSpaceDE/>
        <w:autoSpaceDN/>
        <w:bidi w:val="0"/>
        <w:adjustRightInd/>
        <w:spacing w:line="560" w:lineRule="exact"/>
        <w:ind w:left="0" w:leftChars="0" w:firstLine="480" w:firstLineChars="200"/>
        <w:textAlignment w:val="auto"/>
        <w:rPr>
          <w:rFonts w:ascii="仿宋_GB2312" w:hAnsi="宋体" w:eastAsia="仿宋_GB2312"/>
          <w:sz w:val="28"/>
          <w:szCs w:val="28"/>
        </w:rPr>
      </w:pPr>
      <w:r>
        <w:rPr>
          <w:rFonts w:hint="eastAsia" w:ascii="仿宋_GB2312" w:hAnsi="宋体" w:eastAsia="仿宋_GB2312"/>
          <w:sz w:val="24"/>
        </w:rPr>
        <w:t>（报价文中个人签章应真实、有效。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4"/>
        <w:keepNext w:val="0"/>
        <w:keepLines w:val="0"/>
        <w:pageBreakBefore w:val="0"/>
        <w:kinsoku/>
        <w:wordWrap/>
        <w:overflowPunct/>
        <w:topLinePunct w:val="0"/>
        <w:autoSpaceDE/>
        <w:autoSpaceDN/>
        <w:bidi w:val="0"/>
        <w:adjustRightInd/>
        <w:spacing w:line="560" w:lineRule="exact"/>
        <w:ind w:left="0" w:leftChars="0"/>
        <w:jc w:val="center"/>
        <w:textAlignment w:val="auto"/>
        <w:outlineLvl w:val="1"/>
        <w:rPr>
          <w:rFonts w:ascii="仿宋_GB2312" w:eastAsia="仿宋_GB2312"/>
          <w:szCs w:val="28"/>
        </w:rPr>
      </w:pPr>
    </w:p>
    <w:p>
      <w:pPr>
        <w:keepNext w:val="0"/>
        <w:keepLines w:val="0"/>
        <w:pageBreakBefore w:val="0"/>
        <w:kinsoku/>
        <w:wordWrap/>
        <w:overflowPunct/>
        <w:topLinePunct w:val="0"/>
        <w:autoSpaceDE/>
        <w:autoSpaceDN/>
        <w:bidi w:val="0"/>
        <w:adjustRightInd/>
        <w:spacing w:line="560" w:lineRule="exact"/>
        <w:ind w:left="0" w:leftChars="0"/>
        <w:textAlignment w:val="auto"/>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arial, helvetica, sans-serif">
    <w:altName w:val="Segoe Print"/>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 w:name="EucrosiaUPC">
    <w:panose1 w:val="02020603050405020304"/>
    <w:charset w:val="00"/>
    <w:family w:val="auto"/>
    <w:pitch w:val="default"/>
    <w:sig w:usb0="8100002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EF47A"/>
    <w:multiLevelType w:val="singleLevel"/>
    <w:tmpl w:val="629EF4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NzZlMzVhOTg3NDQ0NTFjNmFlNjUyNjUxZjRhNGUifQ=="/>
  </w:docVars>
  <w:rsids>
    <w:rsidRoot w:val="00000000"/>
    <w:rsid w:val="00453225"/>
    <w:rsid w:val="00B15F09"/>
    <w:rsid w:val="00C14938"/>
    <w:rsid w:val="013C1674"/>
    <w:rsid w:val="01BB3DFB"/>
    <w:rsid w:val="02A13401"/>
    <w:rsid w:val="03323B24"/>
    <w:rsid w:val="033574C6"/>
    <w:rsid w:val="0357573E"/>
    <w:rsid w:val="03A62D78"/>
    <w:rsid w:val="047962C7"/>
    <w:rsid w:val="05910715"/>
    <w:rsid w:val="067248E3"/>
    <w:rsid w:val="079F39DE"/>
    <w:rsid w:val="0AB15452"/>
    <w:rsid w:val="0B957E51"/>
    <w:rsid w:val="0F264A4E"/>
    <w:rsid w:val="0F2D194D"/>
    <w:rsid w:val="104C3CD5"/>
    <w:rsid w:val="118408DA"/>
    <w:rsid w:val="12154213"/>
    <w:rsid w:val="16A3500D"/>
    <w:rsid w:val="17151117"/>
    <w:rsid w:val="17307D41"/>
    <w:rsid w:val="17651796"/>
    <w:rsid w:val="1A564145"/>
    <w:rsid w:val="1ADD78E5"/>
    <w:rsid w:val="1B393EFF"/>
    <w:rsid w:val="1B9003EA"/>
    <w:rsid w:val="1BC709D8"/>
    <w:rsid w:val="1BD12205"/>
    <w:rsid w:val="1E482C0C"/>
    <w:rsid w:val="1E51534F"/>
    <w:rsid w:val="21B83555"/>
    <w:rsid w:val="232F0087"/>
    <w:rsid w:val="23581894"/>
    <w:rsid w:val="24E9145C"/>
    <w:rsid w:val="25E20415"/>
    <w:rsid w:val="269533BA"/>
    <w:rsid w:val="26B844BF"/>
    <w:rsid w:val="2B067E42"/>
    <w:rsid w:val="2D0E015C"/>
    <w:rsid w:val="2F8B61E7"/>
    <w:rsid w:val="3183460F"/>
    <w:rsid w:val="337D2E7B"/>
    <w:rsid w:val="35D61696"/>
    <w:rsid w:val="370442B6"/>
    <w:rsid w:val="38066795"/>
    <w:rsid w:val="38623008"/>
    <w:rsid w:val="394971EC"/>
    <w:rsid w:val="3AEA64B7"/>
    <w:rsid w:val="3C1C019C"/>
    <w:rsid w:val="3CE20DE3"/>
    <w:rsid w:val="3D08390E"/>
    <w:rsid w:val="3D7309E6"/>
    <w:rsid w:val="3F8F3AD1"/>
    <w:rsid w:val="3FE55AAF"/>
    <w:rsid w:val="40F77B80"/>
    <w:rsid w:val="414C38C3"/>
    <w:rsid w:val="41D210D4"/>
    <w:rsid w:val="46195BA4"/>
    <w:rsid w:val="46771560"/>
    <w:rsid w:val="47CB0DD4"/>
    <w:rsid w:val="48C252CB"/>
    <w:rsid w:val="48DA4B74"/>
    <w:rsid w:val="48E51B6F"/>
    <w:rsid w:val="498E4EBE"/>
    <w:rsid w:val="4AE81075"/>
    <w:rsid w:val="4ED02979"/>
    <w:rsid w:val="51E657D3"/>
    <w:rsid w:val="526262C1"/>
    <w:rsid w:val="52803EFD"/>
    <w:rsid w:val="56451768"/>
    <w:rsid w:val="58EB36CF"/>
    <w:rsid w:val="5AF21B48"/>
    <w:rsid w:val="5CCB60AB"/>
    <w:rsid w:val="5D641CA2"/>
    <w:rsid w:val="5E274AA4"/>
    <w:rsid w:val="5ECE1AC8"/>
    <w:rsid w:val="5EE61FBF"/>
    <w:rsid w:val="5F550EB4"/>
    <w:rsid w:val="5F942D0C"/>
    <w:rsid w:val="660D782A"/>
    <w:rsid w:val="67717EAE"/>
    <w:rsid w:val="687A26C1"/>
    <w:rsid w:val="68FF1E73"/>
    <w:rsid w:val="6A970053"/>
    <w:rsid w:val="6BCA1291"/>
    <w:rsid w:val="6D21478C"/>
    <w:rsid w:val="6F1F5DA4"/>
    <w:rsid w:val="74003DCF"/>
    <w:rsid w:val="75456D79"/>
    <w:rsid w:val="77F17F12"/>
    <w:rsid w:val="77F64C1A"/>
    <w:rsid w:val="780471E3"/>
    <w:rsid w:val="78762856"/>
    <w:rsid w:val="7AE603FD"/>
    <w:rsid w:val="7B6E46DC"/>
    <w:rsid w:val="7CB36228"/>
    <w:rsid w:val="7CB62E48"/>
    <w:rsid w:val="7E5A40BC"/>
    <w:rsid w:val="7EC93A28"/>
    <w:rsid w:val="7FA73CE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rFonts w:hint="eastAsia" w:ascii="Calibri" w:hAnsi="Calibri"/>
      <w:kern w:val="28"/>
      <w:szCs w:val="20"/>
    </w:rPr>
  </w:style>
  <w:style w:type="paragraph" w:styleId="4">
    <w:name w:val="Normal Indent"/>
    <w:basedOn w:val="1"/>
    <w:qFormat/>
    <w:uiPriority w:val="99"/>
    <w:pPr>
      <w:ind w:firstLine="420"/>
    </w:pPr>
  </w:style>
  <w:style w:type="paragraph" w:styleId="5">
    <w:name w:val="Plain Text"/>
    <w:basedOn w:val="1"/>
    <w:qFormat/>
    <w:uiPriority w:val="99"/>
    <w:rPr>
      <w:rFonts w:ascii="宋体" w:hAnsi="Courier New" w:eastAsia="宋体"/>
      <w:szCs w:val="20"/>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0"/>
    <w:pPr>
      <w:ind w:firstLine="420" w:firstLineChars="200"/>
    </w:pPr>
  </w:style>
  <w:style w:type="paragraph" w:customStyle="1" w:styleId="14">
    <w:name w:val="样式3"/>
    <w:basedOn w:val="5"/>
    <w:qFormat/>
    <w:uiPriority w:val="0"/>
    <w:pPr>
      <w:spacing w:line="240" w:lineRule="atLeast"/>
      <w:outlineLvl w:val="0"/>
    </w:pPr>
    <w:rPr>
      <w:sz w:val="28"/>
    </w:rPr>
  </w:style>
  <w:style w:type="paragraph" w:customStyle="1" w:styleId="15">
    <w:name w:val="List Paragraph"/>
    <w:basedOn w:val="1"/>
    <w:qFormat/>
    <w:uiPriority w:val="34"/>
    <w:pPr>
      <w:ind w:firstLine="420" w:firstLineChars="200"/>
    </w:pPr>
  </w:style>
  <w:style w:type="paragraph" w:customStyle="1" w:styleId="16">
    <w:name w:val="列出段落2"/>
    <w:basedOn w:val="1"/>
    <w:qFormat/>
    <w:uiPriority w:val="34"/>
    <w:pPr>
      <w:ind w:firstLine="420" w:firstLineChars="200"/>
    </w:pPr>
  </w:style>
  <w:style w:type="paragraph" w:customStyle="1" w:styleId="17">
    <w:name w:val="null3"/>
    <w:hidden/>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3441</Words>
  <Characters>3498</Characters>
  <Lines>0</Lines>
  <Paragraphs>0</Paragraphs>
  <ScaleCrop>false</ScaleCrop>
  <LinksUpToDate>false</LinksUpToDate>
  <CharactersWithSpaces>4420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2021-06-24T02:08:00Z</dcterms:created>
  <dc:creator>lenovo</dc:creator>
  <cp:lastModifiedBy>Administrator</cp:lastModifiedBy>
  <cp:lastPrinted>2023-11-27T06:38:00Z</cp:lastPrinted>
  <dcterms:modified xsi:type="dcterms:W3CDTF">2023-11-27T07:59:39Z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DA98239856C6420C938A8F691B82439D</vt:lpwstr>
  </property>
</Properties>
</file>